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SCHEDULE F</w:t>
      </w:r>
    </w:p>
    <w:p w:rsidR="00000000" w:rsidDel="00000000" w:rsidP="00000000" w:rsidRDefault="00000000" w:rsidRPr="00000000" w14:paraId="00000002">
      <w:pPr>
        <w:spacing w:before="4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Data Transfer Addendum to the EU Commission Standard Contractual Clauses (Version B1.0, in force 21 March 2022)</w:t>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1: Tables</w:t>
      </w:r>
    </w:p>
    <w:p w:rsidR="00000000" w:rsidDel="00000000" w:rsidP="00000000" w:rsidRDefault="00000000" w:rsidRPr="00000000" w14:paraId="00000004">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 Parties</w:t>
      </w:r>
    </w:p>
    <w:tbl>
      <w:tblPr>
        <w:tblStyle w:val="Table1"/>
        <w:tblW w:w="9340.000000000002" w:type="dxa"/>
        <w:jc w:val="left"/>
        <w:tblBorders>
          <w:top w:color="ffd965" w:space="0" w:sz="8" w:val="single"/>
          <w:left w:color="ffd965" w:space="0" w:sz="8" w:val="single"/>
          <w:bottom w:color="ffd965" w:space="0" w:sz="8" w:val="single"/>
          <w:right w:color="ffd965" w:space="0" w:sz="8" w:val="single"/>
          <w:insideH w:color="ffd965" w:space="0" w:sz="8" w:val="single"/>
          <w:insideV w:color="ffd965" w:space="0" w:sz="8" w:val="single"/>
        </w:tblBorders>
        <w:tblLayout w:type="fixed"/>
        <w:tblLook w:val="0400"/>
      </w:tblPr>
      <w:tblGrid>
        <w:gridCol w:w="2423"/>
        <w:gridCol w:w="3596"/>
        <w:gridCol w:w="3321"/>
        <w:tblGridChange w:id="0">
          <w:tblGrid>
            <w:gridCol w:w="2423"/>
            <w:gridCol w:w="3596"/>
            <w:gridCol w:w="3321"/>
          </w:tblGrid>
        </w:tblGridChange>
      </w:tblGrid>
      <w:tr>
        <w:trPr>
          <w:cantSplit w:val="0"/>
          <w:tblHeader w:val="0"/>
        </w:trPr>
        <w:tc>
          <w:tcPr>
            <w:shd w:fill="fff2cc" w:val="clear"/>
          </w:tcPr>
          <w:p w:rsidR="00000000" w:rsidDel="00000000" w:rsidP="00000000" w:rsidRDefault="00000000" w:rsidRPr="00000000" w14:paraId="00000005">
            <w:pPr>
              <w:spacing w:after="360" w:before="36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Start date</w:t>
            </w:r>
          </w:p>
        </w:tc>
        <w:tc>
          <w:tcPr>
            <w:gridSpan w:val="2"/>
          </w:tcPr>
          <w:p w:rsidR="00000000" w:rsidDel="00000000" w:rsidP="00000000" w:rsidRDefault="00000000" w:rsidRPr="00000000" w14:paraId="00000006">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Date of the Agreement.</w:t>
            </w:r>
          </w:p>
        </w:tc>
      </w:tr>
      <w:tr>
        <w:trPr>
          <w:cantSplit w:val="0"/>
          <w:tblHeader w:val="0"/>
        </w:trPr>
        <w:tc>
          <w:tcPr>
            <w:shd w:fill="ffe7a3" w:val="clear"/>
          </w:tcPr>
          <w:p w:rsidR="00000000" w:rsidDel="00000000" w:rsidP="00000000" w:rsidRDefault="00000000" w:rsidRPr="00000000" w14:paraId="00000008">
            <w:pPr>
              <w:spacing w:after="480" w:before="48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Parties</w:t>
            </w:r>
          </w:p>
        </w:tc>
        <w:tc>
          <w:tcPr>
            <w:shd w:fill="ffe7a3" w:val="clear"/>
          </w:tcPr>
          <w:p w:rsidR="00000000" w:rsidDel="00000000" w:rsidP="00000000" w:rsidRDefault="00000000" w:rsidRPr="00000000" w14:paraId="00000009">
            <w:pPr>
              <w:spacing w:after="240" w:before="36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Exporter (who sends the Restricted Transfer)</w:t>
            </w:r>
          </w:p>
        </w:tc>
        <w:tc>
          <w:tcPr>
            <w:shd w:fill="ffe7a3" w:val="clear"/>
          </w:tcPr>
          <w:p w:rsidR="00000000" w:rsidDel="00000000" w:rsidP="00000000" w:rsidRDefault="00000000" w:rsidRPr="00000000" w14:paraId="0000000A">
            <w:pPr>
              <w:spacing w:after="240" w:before="36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Importer (who receives the Restricted Transfer)</w:t>
            </w:r>
          </w:p>
        </w:tc>
      </w:tr>
      <w:tr>
        <w:trPr>
          <w:cantSplit w:val="0"/>
          <w:tblHeader w:val="0"/>
        </w:trPr>
        <w:tc>
          <w:tcPr>
            <w:shd w:fill="fff2cc" w:val="clear"/>
          </w:tcPr>
          <w:p w:rsidR="00000000" w:rsidDel="00000000" w:rsidP="00000000" w:rsidRDefault="00000000" w:rsidRPr="00000000" w14:paraId="0000000B">
            <w:pPr>
              <w:spacing w:after="240" w:before="36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Parties’ details</w:t>
            </w:r>
          </w:p>
        </w:tc>
        <w:tc>
          <w:tcPr/>
          <w:p w:rsidR="00000000" w:rsidDel="00000000" w:rsidP="00000000" w:rsidRDefault="00000000" w:rsidRPr="00000000" w14:paraId="0000000C">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legal name:</w:t>
            </w:r>
          </w:p>
          <w:p w:rsidR="00000000" w:rsidDel="00000000" w:rsidP="00000000" w:rsidRDefault="00000000" w:rsidRPr="00000000" w14:paraId="0000000D">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p w:rsidR="00000000" w:rsidDel="00000000" w:rsidP="00000000" w:rsidRDefault="00000000" w:rsidRPr="00000000" w14:paraId="0000000E">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Trading name (if different): See Schedule A of the DPA.</w:t>
            </w:r>
          </w:p>
          <w:p w:rsidR="00000000" w:rsidDel="00000000" w:rsidP="00000000" w:rsidRDefault="00000000" w:rsidRPr="00000000" w14:paraId="0000000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 address (if a company registered address): See Schedule A of the DPA.</w:t>
            </w:r>
          </w:p>
          <w:p w:rsidR="00000000" w:rsidDel="00000000" w:rsidP="00000000" w:rsidRDefault="00000000" w:rsidRPr="00000000" w14:paraId="00000010">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Official registration number (if any) (company number or similar identifier):</w:t>
            </w:r>
          </w:p>
        </w:tc>
        <w:tc>
          <w:tcPr/>
          <w:p w:rsidR="00000000" w:rsidDel="00000000" w:rsidP="00000000" w:rsidRDefault="00000000" w:rsidRPr="00000000" w14:paraId="00000011">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legal name:</w:t>
            </w:r>
          </w:p>
          <w:p w:rsidR="00000000" w:rsidDel="00000000" w:rsidP="00000000" w:rsidRDefault="00000000" w:rsidRPr="00000000" w14:paraId="00000012">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See Schedule A of the DPA.</w:t>
            </w:r>
          </w:p>
          <w:p w:rsidR="00000000" w:rsidDel="00000000" w:rsidP="00000000" w:rsidRDefault="00000000" w:rsidRPr="00000000" w14:paraId="00000013">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Trading name (if different): </w:t>
            </w:r>
          </w:p>
          <w:p w:rsidR="00000000" w:rsidDel="00000000" w:rsidP="00000000" w:rsidRDefault="00000000" w:rsidRPr="00000000" w14:paraId="00000014">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 address (if a company registered address): See Schedule A of the DPA.</w:t>
            </w:r>
          </w:p>
          <w:p w:rsidR="00000000" w:rsidDel="00000000" w:rsidP="00000000" w:rsidRDefault="00000000" w:rsidRPr="00000000" w14:paraId="00000015">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Official registration number (if any) (company number or similar identifier): </w:t>
            </w:r>
          </w:p>
        </w:tc>
      </w:tr>
      <w:tr>
        <w:trPr>
          <w:cantSplit w:val="0"/>
          <w:tblHeader w:val="0"/>
        </w:trPr>
        <w:tc>
          <w:tcPr>
            <w:tcBorders>
              <w:bottom w:color="ffd965" w:space="0" w:sz="8" w:val="single"/>
            </w:tcBorders>
            <w:shd w:fill="fff2cc" w:val="clear"/>
          </w:tcPr>
          <w:p w:rsidR="00000000" w:rsidDel="00000000" w:rsidP="00000000" w:rsidRDefault="00000000" w:rsidRPr="00000000" w14:paraId="00000016">
            <w:pPr>
              <w:spacing w:after="240" w:before="36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Contact</w:t>
            </w:r>
          </w:p>
        </w:tc>
        <w:tc>
          <w:tcPr>
            <w:tcBorders>
              <w:bottom w:color="ffd965" w:space="0" w:sz="8" w:val="single"/>
            </w:tcBorders>
          </w:tcPr>
          <w:p w:rsidR="00000000" w:rsidDel="00000000" w:rsidP="00000000" w:rsidRDefault="00000000" w:rsidRPr="00000000" w14:paraId="00000017">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 (optional): </w:t>
            </w:r>
          </w:p>
          <w:p w:rsidR="00000000" w:rsidDel="00000000" w:rsidP="00000000" w:rsidRDefault="00000000" w:rsidRPr="00000000" w14:paraId="00000018">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p w:rsidR="00000000" w:rsidDel="00000000" w:rsidP="00000000" w:rsidRDefault="00000000" w:rsidRPr="00000000" w14:paraId="00000019">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Title: </w:t>
            </w:r>
          </w:p>
          <w:p w:rsidR="00000000" w:rsidDel="00000000" w:rsidP="00000000" w:rsidRDefault="00000000" w:rsidRPr="00000000" w14:paraId="0000001A">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p w:rsidR="00000000" w:rsidDel="00000000" w:rsidP="00000000" w:rsidRDefault="00000000" w:rsidRPr="00000000" w14:paraId="0000001B">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details including email: </w:t>
            </w:r>
          </w:p>
          <w:p w:rsidR="00000000" w:rsidDel="00000000" w:rsidP="00000000" w:rsidRDefault="00000000" w:rsidRPr="00000000" w14:paraId="0000001C">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tc>
        <w:tc>
          <w:tcPr>
            <w:tcBorders>
              <w:bottom w:color="ffd965" w:space="0" w:sz="8" w:val="single"/>
            </w:tcBorders>
          </w:tcPr>
          <w:p w:rsidR="00000000" w:rsidDel="00000000" w:rsidP="00000000" w:rsidRDefault="00000000" w:rsidRPr="00000000" w14:paraId="0000001D">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 (optional): </w:t>
            </w:r>
          </w:p>
          <w:p w:rsidR="00000000" w:rsidDel="00000000" w:rsidP="00000000" w:rsidRDefault="00000000" w:rsidRPr="00000000" w14:paraId="0000001E">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p w:rsidR="00000000" w:rsidDel="00000000" w:rsidP="00000000" w:rsidRDefault="00000000" w:rsidRPr="00000000" w14:paraId="0000001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Title: </w:t>
            </w:r>
          </w:p>
          <w:p w:rsidR="00000000" w:rsidDel="00000000" w:rsidP="00000000" w:rsidRDefault="00000000" w:rsidRPr="00000000" w14:paraId="00000020">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p w:rsidR="00000000" w:rsidDel="00000000" w:rsidP="00000000" w:rsidRDefault="00000000" w:rsidRPr="00000000" w14:paraId="00000021">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details including email: </w:t>
            </w:r>
          </w:p>
          <w:p w:rsidR="00000000" w:rsidDel="00000000" w:rsidP="00000000" w:rsidRDefault="00000000" w:rsidRPr="00000000" w14:paraId="00000022">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Schedule A of the DPA.</w:t>
            </w:r>
          </w:p>
        </w:tc>
      </w:tr>
      <w:tr>
        <w:trPr>
          <w:cantSplit w:val="0"/>
          <w:tblHeader w:val="0"/>
        </w:trPr>
        <w:tc>
          <w:tcPr>
            <w:tcBorders>
              <w:bottom w:color="ffd965" w:space="0" w:sz="18" w:val="single"/>
            </w:tcBorders>
            <w:shd w:fill="fff2cc" w:val="clear"/>
          </w:tcPr>
          <w:p w:rsidR="00000000" w:rsidDel="00000000" w:rsidP="00000000" w:rsidRDefault="00000000" w:rsidRPr="00000000" w14:paraId="00000023">
            <w:pPr>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(if required for the purposes of Section 2)</w:t>
            </w:r>
          </w:p>
        </w:tc>
        <w:tc>
          <w:tcPr>
            <w:tcBorders>
              <w:bottom w:color="ffd965" w:space="0" w:sz="18" w:val="single"/>
            </w:tcBorders>
          </w:tcPr>
          <w:p w:rsidR="00000000" w:rsidDel="00000000" w:rsidP="00000000" w:rsidRDefault="00000000" w:rsidRPr="00000000" w14:paraId="00000024">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Parties agree that execution of the Agreement shall constitute execution of this Addendum, if applicable.</w:t>
            </w:r>
          </w:p>
        </w:tc>
        <w:tc>
          <w:tcPr>
            <w:tcBorders>
              <w:bottom w:color="ffd965" w:space="0" w:sz="18" w:val="single"/>
            </w:tcBorders>
          </w:tcPr>
          <w:p w:rsidR="00000000" w:rsidDel="00000000" w:rsidP="00000000" w:rsidRDefault="00000000" w:rsidRPr="00000000" w14:paraId="00000025">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Parties agree that execution of the Agreement shall constitute execution of this Addendum, if applicable.</w:t>
            </w:r>
          </w:p>
        </w:tc>
      </w:tr>
    </w:tbl>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Selected SCCs, Modules and Selected Clauses</w:t>
      </w:r>
    </w:p>
    <w:tbl>
      <w:tblPr>
        <w:tblStyle w:val="Table2"/>
        <w:tblW w:w="9805.0" w:type="dxa"/>
        <w:jc w:val="left"/>
        <w:tblBorders>
          <w:top w:color="ffd965" w:space="0" w:sz="8" w:val="single"/>
          <w:left w:color="ffd965" w:space="0" w:sz="8" w:val="single"/>
          <w:bottom w:color="ffd965" w:space="0" w:sz="8" w:val="single"/>
          <w:right w:color="ffd965" w:space="0" w:sz="8" w:val="single"/>
          <w:insideH w:color="ffd965" w:space="0" w:sz="8" w:val="single"/>
          <w:insideV w:color="ffd965" w:space="0" w:sz="8" w:val="single"/>
        </w:tblBorders>
        <w:tblLayout w:type="fixed"/>
        <w:tblLook w:val="0400"/>
      </w:tblPr>
      <w:tblGrid>
        <w:gridCol w:w="1003"/>
        <w:gridCol w:w="1400"/>
        <w:gridCol w:w="109"/>
        <w:gridCol w:w="1201"/>
        <w:gridCol w:w="1322"/>
        <w:gridCol w:w="1350"/>
        <w:gridCol w:w="1350"/>
        <w:gridCol w:w="2070"/>
        <w:tblGridChange w:id="0">
          <w:tblGrid>
            <w:gridCol w:w="1003"/>
            <w:gridCol w:w="1400"/>
            <w:gridCol w:w="109"/>
            <w:gridCol w:w="1201"/>
            <w:gridCol w:w="1322"/>
            <w:gridCol w:w="1350"/>
            <w:gridCol w:w="1350"/>
            <w:gridCol w:w="2070"/>
          </w:tblGrid>
        </w:tblGridChange>
      </w:tblGrid>
      <w:tr>
        <w:trPr>
          <w:cantSplit w:val="0"/>
          <w:tblHeader w:val="0"/>
        </w:trPr>
        <w:tc>
          <w:tcPr>
            <w:gridSpan w:val="2"/>
            <w:shd w:fill="fff2cc" w:val="clear"/>
          </w:tcPr>
          <w:p w:rsidR="00000000" w:rsidDel="00000000" w:rsidP="00000000" w:rsidRDefault="00000000" w:rsidRPr="00000000" w14:paraId="00000028">
            <w:pPr>
              <w:spacing w:after="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Addendum EU SCCs</w:t>
            </w:r>
          </w:p>
        </w:tc>
        <w:tc>
          <w:tcPr>
            <w:gridSpan w:val="6"/>
          </w:tcPr>
          <w:p w:rsidR="00000000" w:rsidDel="00000000" w:rsidP="00000000" w:rsidRDefault="00000000" w:rsidRPr="00000000" w14:paraId="0000002A">
            <w:pPr>
              <w:spacing w:line="240" w:lineRule="auto"/>
              <w:ind w:left="360" w:firstLine="0"/>
              <w:rPr>
                <w:rFonts w:ascii="Times New Roman" w:cs="Times New Roman" w:eastAsia="Times New Roman" w:hAnsi="Times New Roman"/>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The version of the Approved EU SCCs which this</w:t>
            </w:r>
          </w:p>
          <w:p w:rsidR="00000000" w:rsidDel="00000000" w:rsidP="00000000" w:rsidRDefault="00000000" w:rsidRPr="00000000" w14:paraId="0000002B">
            <w:pPr>
              <w:spacing w:after="24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Addendum is appended to, detailed below, including the Appendix Information:</w:t>
            </w:r>
          </w:p>
          <w:p w:rsidR="00000000" w:rsidDel="00000000" w:rsidP="00000000" w:rsidRDefault="00000000" w:rsidRPr="00000000" w14:paraId="0000002C">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Effective Date of the Agreement</w:t>
            </w:r>
          </w:p>
          <w:p w:rsidR="00000000" w:rsidDel="00000000" w:rsidP="00000000" w:rsidRDefault="00000000" w:rsidRPr="00000000" w14:paraId="0000002D">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 (if any):  Schedule D of the DPA (for Controller to Processor Restricted Transfers) or Schedule E of the DPA (for Processor to Processor Restricted Transfers)</w:t>
            </w:r>
          </w:p>
          <w:p w:rsidR="00000000" w:rsidDel="00000000" w:rsidP="00000000" w:rsidRDefault="00000000" w:rsidRPr="00000000" w14:paraId="0000002E">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identifier (if any): N/A</w:t>
            </w:r>
          </w:p>
          <w:p w:rsidR="00000000" w:rsidDel="00000000" w:rsidP="00000000" w:rsidRDefault="00000000" w:rsidRPr="00000000" w14:paraId="0000002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w:t>
            </w:r>
          </w:p>
          <w:p w:rsidR="00000000" w:rsidDel="00000000" w:rsidP="00000000" w:rsidRDefault="00000000" w:rsidRPr="00000000" w14:paraId="00000030">
            <w:pPr>
              <w:spacing w:line="240" w:lineRule="auto"/>
              <w:ind w:left="36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Times New Roman" w:cs="Times New Roman" w:eastAsia="Times New Roman" w:hAnsi="Times New Roman"/>
                <w:sz w:val="20"/>
                <w:szCs w:val="20"/>
                <w:rtl w:val="0"/>
              </w:rPr>
              <w:t xml:space="preserve">the Approved EU SCCs, including the Appendix</w:t>
            </w:r>
          </w:p>
          <w:p w:rsidR="00000000" w:rsidDel="00000000" w:rsidP="00000000" w:rsidRDefault="00000000" w:rsidRPr="00000000" w14:paraId="00000031">
            <w:pPr>
              <w:spacing w:line="240" w:lineRule="auto"/>
              <w:ind w:left="1350" w:hanging="10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Information and with only the following modules, clauses</w:t>
            </w:r>
          </w:p>
          <w:p w:rsidR="00000000" w:rsidDel="00000000" w:rsidP="00000000" w:rsidRDefault="00000000" w:rsidRPr="00000000" w14:paraId="00000032">
            <w:pPr>
              <w:spacing w:line="240" w:lineRule="auto"/>
              <w:ind w:left="1350" w:hanging="10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 optional provisions of the Approved EU SCCs brought</w:t>
            </w:r>
          </w:p>
          <w:p w:rsidR="00000000" w:rsidDel="00000000" w:rsidP="00000000" w:rsidRDefault="00000000" w:rsidRPr="00000000" w14:paraId="00000033">
            <w:pPr>
              <w:spacing w:after="240" w:line="240" w:lineRule="auto"/>
              <w:ind w:left="1350" w:hanging="10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into effect for the purposes of this Addendum:</w:t>
            </w:r>
          </w:p>
        </w:tc>
      </w:tr>
      <w:tr>
        <w:trPr>
          <w:cantSplit w:val="0"/>
          <w:tblHeader w:val="0"/>
        </w:trPr>
        <w:tc>
          <w:tcPr/>
          <w:p w:rsidR="00000000" w:rsidDel="00000000" w:rsidP="00000000" w:rsidRDefault="00000000" w:rsidRPr="00000000" w14:paraId="00000039">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Module</w:t>
            </w:r>
          </w:p>
        </w:tc>
        <w:tc>
          <w:tcPr>
            <w:gridSpan w:val="2"/>
          </w:tcPr>
          <w:p w:rsidR="00000000" w:rsidDel="00000000" w:rsidP="00000000" w:rsidRDefault="00000000" w:rsidRPr="00000000" w14:paraId="0000003A">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Module in operation</w:t>
            </w:r>
          </w:p>
        </w:tc>
        <w:tc>
          <w:tcPr/>
          <w:p w:rsidR="00000000" w:rsidDel="00000000" w:rsidP="00000000" w:rsidRDefault="00000000" w:rsidRPr="00000000" w14:paraId="0000003C">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Clause 7 (Docking Clause)</w:t>
            </w:r>
          </w:p>
        </w:tc>
        <w:tc>
          <w:tcPr/>
          <w:p w:rsidR="00000000" w:rsidDel="00000000" w:rsidP="00000000" w:rsidRDefault="00000000" w:rsidRPr="00000000" w14:paraId="0000003D">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Clause 11 (Option)</w:t>
            </w:r>
          </w:p>
        </w:tc>
        <w:tc>
          <w:tcPr/>
          <w:p w:rsidR="00000000" w:rsidDel="00000000" w:rsidP="00000000" w:rsidRDefault="00000000" w:rsidRPr="00000000" w14:paraId="0000003E">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Clause 9a (Prior Authorisa tion or General Authorisa tion)</w:t>
            </w:r>
          </w:p>
        </w:tc>
        <w:tc>
          <w:tcPr/>
          <w:p w:rsidR="00000000" w:rsidDel="00000000" w:rsidP="00000000" w:rsidRDefault="00000000" w:rsidRPr="00000000" w14:paraId="0000003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Clause 9a (Time period)</w:t>
            </w:r>
          </w:p>
        </w:tc>
        <w:tc>
          <w:tcPr/>
          <w:p w:rsidR="00000000" w:rsidDel="00000000" w:rsidP="00000000" w:rsidRDefault="00000000" w:rsidRPr="00000000" w14:paraId="00000040">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personal data received from the Importer combined with personal data collected by the Exporter?</w:t>
            </w:r>
          </w:p>
        </w:tc>
      </w:tr>
      <w:tr>
        <w:trPr>
          <w:cantSplit w:val="0"/>
          <w:tblHeader w:val="0"/>
        </w:trPr>
        <w:tc>
          <w:tcPr/>
          <w:p w:rsidR="00000000" w:rsidDel="00000000" w:rsidP="00000000" w:rsidRDefault="00000000" w:rsidRPr="00000000" w14:paraId="00000041">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tcPr>
          <w:p w:rsidR="00000000" w:rsidDel="00000000" w:rsidP="00000000" w:rsidRDefault="00000000" w:rsidRPr="00000000" w14:paraId="00000042">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p w:rsidR="00000000" w:rsidDel="00000000" w:rsidP="00000000" w:rsidRDefault="00000000" w:rsidRPr="00000000" w14:paraId="00000044">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p w:rsidR="00000000" w:rsidDel="00000000" w:rsidP="00000000" w:rsidRDefault="00000000" w:rsidRPr="00000000" w14:paraId="00000045">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shd w:fill="fff2cc" w:val="clear"/>
          </w:tcPr>
          <w:p w:rsidR="00000000" w:rsidDel="00000000" w:rsidP="00000000" w:rsidRDefault="00000000" w:rsidRPr="00000000" w14:paraId="00000046">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shd w:fill="fff2cc" w:val="clear"/>
          </w:tcPr>
          <w:p w:rsidR="00000000" w:rsidDel="00000000" w:rsidP="00000000" w:rsidRDefault="00000000" w:rsidRPr="00000000" w14:paraId="00000047">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shd w:fill="fff2cc" w:val="clear"/>
          </w:tcPr>
          <w:p w:rsidR="00000000" w:rsidDel="00000000" w:rsidP="00000000" w:rsidRDefault="00000000" w:rsidRPr="00000000" w14:paraId="00000048">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r>
      <w:tr>
        <w:trPr>
          <w:cantSplit w:val="0"/>
          <w:tblHeader w:val="0"/>
        </w:trPr>
        <w:tc>
          <w:tcPr/>
          <w:p w:rsidR="00000000" w:rsidDel="00000000" w:rsidP="00000000" w:rsidRDefault="00000000" w:rsidRPr="00000000" w14:paraId="00000049">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2"/>
          </w:tcPr>
          <w:p w:rsidR="00000000" w:rsidDel="00000000" w:rsidP="00000000" w:rsidRDefault="00000000" w:rsidRPr="00000000" w14:paraId="0000004A">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p w:rsidR="00000000" w:rsidDel="00000000" w:rsidP="00000000" w:rsidRDefault="00000000" w:rsidRPr="00000000" w14:paraId="0000004C">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p w:rsidR="00000000" w:rsidDel="00000000" w:rsidP="00000000" w:rsidRDefault="00000000" w:rsidRPr="00000000" w14:paraId="0000004D">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p w:rsidR="00000000" w:rsidDel="00000000" w:rsidP="00000000" w:rsidRDefault="00000000" w:rsidRPr="00000000" w14:paraId="0000004E">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p w:rsidR="00000000" w:rsidDel="00000000" w:rsidP="00000000" w:rsidRDefault="00000000" w:rsidRPr="00000000" w14:paraId="0000004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shd w:fill="fff2cc" w:val="clear"/>
          </w:tcPr>
          <w:p w:rsidR="00000000" w:rsidDel="00000000" w:rsidP="00000000" w:rsidRDefault="00000000" w:rsidRPr="00000000" w14:paraId="00000050">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r>
      <w:tr>
        <w:trPr>
          <w:cantSplit w:val="0"/>
          <w:tblHeader w:val="0"/>
        </w:trPr>
        <w:tc>
          <w:tcPr>
            <w:tcBorders>
              <w:bottom w:color="ffd965" w:space="0" w:sz="8" w:val="single"/>
            </w:tcBorders>
          </w:tcPr>
          <w:p w:rsidR="00000000" w:rsidDel="00000000" w:rsidP="00000000" w:rsidRDefault="00000000" w:rsidRPr="00000000" w14:paraId="00000051">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2"/>
            <w:tcBorders>
              <w:bottom w:color="ffd965" w:space="0" w:sz="8" w:val="single"/>
            </w:tcBorders>
          </w:tcPr>
          <w:p w:rsidR="00000000" w:rsidDel="00000000" w:rsidP="00000000" w:rsidRDefault="00000000" w:rsidRPr="00000000" w14:paraId="00000052">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8" w:val="single"/>
            </w:tcBorders>
          </w:tcPr>
          <w:p w:rsidR="00000000" w:rsidDel="00000000" w:rsidP="00000000" w:rsidRDefault="00000000" w:rsidRPr="00000000" w14:paraId="00000054">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8" w:val="single"/>
            </w:tcBorders>
          </w:tcPr>
          <w:p w:rsidR="00000000" w:rsidDel="00000000" w:rsidP="00000000" w:rsidRDefault="00000000" w:rsidRPr="00000000" w14:paraId="00000055">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8" w:val="single"/>
            </w:tcBorders>
          </w:tcPr>
          <w:p w:rsidR="00000000" w:rsidDel="00000000" w:rsidP="00000000" w:rsidRDefault="00000000" w:rsidRPr="00000000" w14:paraId="00000056">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8" w:val="single"/>
            </w:tcBorders>
          </w:tcPr>
          <w:p w:rsidR="00000000" w:rsidDel="00000000" w:rsidP="00000000" w:rsidRDefault="00000000" w:rsidRPr="00000000" w14:paraId="00000057">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8" w:val="single"/>
            </w:tcBorders>
            <w:shd w:fill="fff2cc" w:val="clear"/>
          </w:tcPr>
          <w:p w:rsidR="00000000" w:rsidDel="00000000" w:rsidP="00000000" w:rsidRDefault="00000000" w:rsidRPr="00000000" w14:paraId="00000058">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r>
      <w:tr>
        <w:trPr>
          <w:cantSplit w:val="0"/>
          <w:tblHeader w:val="0"/>
        </w:trPr>
        <w:tc>
          <w:tcPr>
            <w:tcBorders>
              <w:bottom w:color="ffd965" w:space="0" w:sz="18" w:val="single"/>
            </w:tcBorders>
          </w:tcPr>
          <w:p w:rsidR="00000000" w:rsidDel="00000000" w:rsidP="00000000" w:rsidRDefault="00000000" w:rsidRPr="00000000" w14:paraId="00000059">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gridSpan w:val="2"/>
            <w:tcBorders>
              <w:bottom w:color="ffd965" w:space="0" w:sz="18" w:val="single"/>
            </w:tcBorders>
          </w:tcPr>
          <w:p w:rsidR="00000000" w:rsidDel="00000000" w:rsidP="00000000" w:rsidRDefault="00000000" w:rsidRPr="00000000" w14:paraId="0000005A">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18" w:val="single"/>
            </w:tcBorders>
          </w:tcPr>
          <w:p w:rsidR="00000000" w:rsidDel="00000000" w:rsidP="00000000" w:rsidRDefault="00000000" w:rsidRPr="00000000" w14:paraId="0000005C">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18" w:val="single"/>
            </w:tcBorders>
          </w:tcPr>
          <w:p w:rsidR="00000000" w:rsidDel="00000000" w:rsidP="00000000" w:rsidRDefault="00000000" w:rsidRPr="00000000" w14:paraId="0000005D">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18" w:val="single"/>
            </w:tcBorders>
            <w:shd w:fill="fff2cc" w:val="clear"/>
          </w:tcPr>
          <w:p w:rsidR="00000000" w:rsidDel="00000000" w:rsidP="00000000" w:rsidRDefault="00000000" w:rsidRPr="00000000" w14:paraId="0000005E">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18" w:val="single"/>
            </w:tcBorders>
            <w:shd w:fill="fff2cc" w:val="clear"/>
          </w:tcPr>
          <w:p w:rsidR="00000000" w:rsidDel="00000000" w:rsidP="00000000" w:rsidRDefault="00000000" w:rsidRPr="00000000" w14:paraId="0000005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c>
          <w:tcPr>
            <w:tcBorders>
              <w:bottom w:color="ffd965" w:space="0" w:sz="18" w:val="single"/>
            </w:tcBorders>
          </w:tcPr>
          <w:p w:rsidR="00000000" w:rsidDel="00000000" w:rsidP="00000000" w:rsidRDefault="00000000" w:rsidRPr="00000000" w14:paraId="00000060">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Click or tap here to enter text.</w:t>
            </w:r>
          </w:p>
        </w:tc>
      </w:tr>
    </w:tbl>
    <w:p w:rsidR="00000000" w:rsidDel="00000000" w:rsidP="00000000" w:rsidRDefault="00000000" w:rsidRPr="00000000" w14:paraId="0000006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3: Appendix Information</w:t>
      </w:r>
    </w:p>
    <w:p w:rsidR="00000000" w:rsidDel="00000000" w:rsidP="00000000" w:rsidRDefault="00000000" w:rsidRPr="00000000" w14:paraId="0000006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Appendix Information</w:t>
      </w:r>
      <w:r w:rsidDel="00000000" w:rsidR="00000000" w:rsidRPr="00000000">
        <w:rPr>
          <w:rFonts w:ascii="Times New Roman" w:cs="Times New Roman" w:eastAsia="Times New Roman" w:hAnsi="Times New Roman"/>
          <w:sz w:val="24"/>
          <w:szCs w:val="24"/>
          <w:rtl w:val="0"/>
        </w:rPr>
        <w:t xml:space="preserve">” means the information which must be provided for the selected modules as set out in the Appendix of the Approved EU SCCs (other than the Parties), and which for this Addendum is set out in:</w:t>
      </w:r>
    </w:p>
    <w:tbl>
      <w:tblPr>
        <w:tblStyle w:val="Table3"/>
        <w:tblW w:w="9350.0" w:type="dxa"/>
        <w:jc w:val="left"/>
        <w:tblBorders>
          <w:top w:color="000000" w:space="0" w:sz="0" w:val="nil"/>
          <w:left w:color="000000" w:space="0" w:sz="0" w:val="nil"/>
          <w:bottom w:color="ffd965" w:space="0" w:sz="18" w:val="single"/>
          <w:right w:color="000000" w:space="0" w:sz="0" w:val="nil"/>
          <w:insideH w:color="ffd965" w:space="0" w:sz="6" w:val="single"/>
          <w:insideV w:color="ffd965" w:space="0" w:sz="6"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1A: List of Parties: Schedule A(A) to the DPA.</w:t>
            </w:r>
          </w:p>
        </w:tc>
      </w:tr>
      <w:tr>
        <w:trPr>
          <w:cantSplit w:val="0"/>
          <w:tblHeader w:val="0"/>
        </w:trPr>
        <w:tc>
          <w:tcPr/>
          <w:p w:rsidR="00000000" w:rsidDel="00000000" w:rsidP="00000000" w:rsidRDefault="00000000" w:rsidRPr="00000000" w14:paraId="0000006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1B: Description of Transfer: Schedule A(B) to the DPA.</w:t>
            </w:r>
          </w:p>
        </w:tc>
      </w:tr>
      <w:tr>
        <w:trPr>
          <w:cantSplit w:val="0"/>
          <w:tblHeader w:val="0"/>
        </w:trPr>
        <w:tc>
          <w:tcPr/>
          <w:p w:rsidR="00000000" w:rsidDel="00000000" w:rsidP="00000000" w:rsidRDefault="00000000" w:rsidRPr="00000000" w14:paraId="0000006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II: Technical and organisational measures including technical and organisational measures to ensure the security of the data: Schedule B to the DPA.</w:t>
            </w:r>
          </w:p>
        </w:tc>
      </w:tr>
      <w:tr>
        <w:trPr>
          <w:cantSplit w:val="0"/>
          <w:tblHeader w:val="0"/>
        </w:trPr>
        <w:tc>
          <w:tcPr/>
          <w:p w:rsidR="00000000" w:rsidDel="00000000" w:rsidP="00000000" w:rsidRDefault="00000000" w:rsidRPr="00000000" w14:paraId="0000006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III: List of Sub processors (Modules 2 and 3 only): Schedule C to the DPA.</w:t>
            </w:r>
          </w:p>
        </w:tc>
      </w:tr>
    </w:tbl>
    <w:p w:rsidR="00000000" w:rsidDel="00000000" w:rsidP="00000000" w:rsidRDefault="00000000" w:rsidRPr="00000000" w14:paraId="0000006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4: Ending this Addendum when the Approved Addendum Changes</w:t>
      </w:r>
    </w:p>
    <w:tbl>
      <w:tblPr>
        <w:tblStyle w:val="Table4"/>
        <w:tblW w:w="9344.0" w:type="dxa"/>
        <w:jc w:val="left"/>
        <w:tblBorders>
          <w:top w:color="ffd965" w:space="0" w:sz="6" w:val="single"/>
          <w:left w:color="ffd965" w:space="0" w:sz="6" w:val="single"/>
          <w:bottom w:color="ffd965" w:space="0" w:sz="18" w:val="single"/>
          <w:right w:color="ffd965" w:space="0" w:sz="6" w:val="single"/>
          <w:insideH w:color="ffd965" w:space="0" w:sz="6" w:val="single"/>
          <w:insideV w:color="ffd965" w:space="0" w:sz="6" w:val="single"/>
        </w:tblBorders>
        <w:tblLayout w:type="fixed"/>
        <w:tblLook w:val="0400"/>
      </w:tblPr>
      <w:tblGrid>
        <w:gridCol w:w="1795"/>
        <w:gridCol w:w="7549"/>
        <w:tblGridChange w:id="0">
          <w:tblGrid>
            <w:gridCol w:w="1795"/>
            <w:gridCol w:w="7549"/>
          </w:tblGrid>
        </w:tblGridChange>
      </w:tblGrid>
      <w:tr>
        <w:trPr>
          <w:cantSplit w:val="0"/>
          <w:tblHeader w:val="0"/>
        </w:trPr>
        <w:tc>
          <w:tcPr>
            <w:shd w:fill="fff2cc" w:val="clear"/>
          </w:tcPr>
          <w:p w:rsidR="00000000" w:rsidDel="00000000" w:rsidP="00000000" w:rsidRDefault="00000000" w:rsidRPr="00000000" w14:paraId="0000006A">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Ending this Addendum when the Approved Addendum changes</w:t>
            </w:r>
          </w:p>
        </w:tc>
        <w:tc>
          <w:tcPr/>
          <w:p w:rsidR="00000000" w:rsidDel="00000000" w:rsidP="00000000" w:rsidRDefault="00000000" w:rsidRPr="00000000" w14:paraId="0000006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Parties may end this Addendum as set out in Section 19: </w:t>
            </w:r>
          </w:p>
          <w:p w:rsidR="00000000" w:rsidDel="00000000" w:rsidP="00000000" w:rsidRDefault="00000000" w:rsidRPr="00000000" w14:paraId="0000006C">
            <w:pPr>
              <w:spacing w:line="240" w:lineRule="auto"/>
              <w:ind w:left="504"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Importer</w:t>
            </w:r>
          </w:p>
          <w:p w:rsidR="00000000" w:rsidDel="00000000" w:rsidP="00000000" w:rsidRDefault="00000000" w:rsidRPr="00000000" w14:paraId="0000006D">
            <w:pPr>
              <w:spacing w:line="240" w:lineRule="auto"/>
              <w:ind w:left="504"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Exporter </w:t>
            </w:r>
          </w:p>
          <w:p w:rsidR="00000000" w:rsidDel="00000000" w:rsidP="00000000" w:rsidRDefault="00000000" w:rsidRPr="00000000" w14:paraId="0000006E">
            <w:pPr>
              <w:spacing w:after="240" w:line="240" w:lineRule="auto"/>
              <w:ind w:left="504"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neither Party</w:t>
            </w:r>
          </w:p>
        </w:tc>
      </w:tr>
    </w:tbl>
    <w:p w:rsidR="00000000" w:rsidDel="00000000" w:rsidP="00000000" w:rsidRDefault="00000000" w:rsidRPr="00000000" w14:paraId="0000006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2: Mandatory Clauses</w:t>
      </w:r>
    </w:p>
    <w:p w:rsidR="00000000" w:rsidDel="00000000" w:rsidP="00000000" w:rsidRDefault="00000000" w:rsidRPr="00000000" w14:paraId="00000071">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Entering into this Addendum</w:t>
      </w:r>
    </w:p>
    <w:p w:rsidR="00000000" w:rsidDel="00000000" w:rsidP="00000000" w:rsidRDefault="00000000" w:rsidRPr="00000000" w14:paraId="00000072">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Each Party agrees to be bound by the terms and conditions set out in this Addendum, in exchange for the other Party also agreeing to be bound by this Addendum.</w:t>
      </w:r>
    </w:p>
    <w:p w:rsidR="00000000" w:rsidDel="00000000" w:rsidP="00000000" w:rsidRDefault="00000000" w:rsidRPr="00000000" w14:paraId="00000073">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p>
    <w:p w:rsidR="00000000" w:rsidDel="00000000" w:rsidP="00000000" w:rsidRDefault="00000000" w:rsidRPr="00000000" w14:paraId="00000074">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Interpretation of this Addendum</w:t>
      </w:r>
    </w:p>
    <w:p w:rsidR="00000000" w:rsidDel="00000000" w:rsidP="00000000" w:rsidRDefault="00000000" w:rsidRPr="00000000" w14:paraId="00000075">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 this Addendum uses terms that are defined in the Approved EU SCCs those terms shall have the same meaning as in the Approved EU SCCs. In addition, the following terms have the following meanings:</w:t>
      </w:r>
    </w:p>
    <w:tbl>
      <w:tblPr>
        <w:tblStyle w:val="Table5"/>
        <w:tblW w:w="9344.0" w:type="dxa"/>
        <w:jc w:val="left"/>
        <w:tblBorders>
          <w:top w:color="ffd965" w:space="0" w:sz="6" w:val="single"/>
          <w:left w:color="ffd965" w:space="0" w:sz="6" w:val="single"/>
          <w:bottom w:color="ffe599" w:space="0" w:sz="18" w:val="single"/>
          <w:right w:color="ffd965" w:space="0" w:sz="6" w:val="single"/>
          <w:insideH w:color="ffd965" w:space="0" w:sz="6" w:val="single"/>
          <w:insideV w:color="ffd965" w:space="0" w:sz="6" w:val="single"/>
        </w:tblBorders>
        <w:tblLayout w:type="fixed"/>
        <w:tblLook w:val="0400"/>
      </w:tblPr>
      <w:tblGrid>
        <w:gridCol w:w="2604"/>
        <w:gridCol w:w="6740"/>
        <w:tblGridChange w:id="0">
          <w:tblGrid>
            <w:gridCol w:w="2604"/>
            <w:gridCol w:w="6740"/>
          </w:tblGrid>
        </w:tblGridChange>
      </w:tblGrid>
      <w:tr>
        <w:trPr>
          <w:cantSplit w:val="0"/>
          <w:tblHeader w:val="0"/>
        </w:trPr>
        <w:tc>
          <w:tcPr>
            <w:shd w:fill="fff2cc" w:val="clear"/>
          </w:tcPr>
          <w:p w:rsidR="00000000" w:rsidDel="00000000" w:rsidP="00000000" w:rsidRDefault="00000000" w:rsidRPr="00000000" w14:paraId="00000076">
            <w:pPr>
              <w:spacing w:after="108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Addendum</w:t>
            </w:r>
          </w:p>
        </w:tc>
        <w:tc>
          <w:tcPr/>
          <w:p w:rsidR="00000000" w:rsidDel="00000000" w:rsidP="00000000" w:rsidRDefault="00000000" w:rsidRPr="00000000" w14:paraId="00000077">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International Data Transfer Addendum which is made up of this Addendum incorporating the Addendum EU SCCs.</w:t>
            </w:r>
          </w:p>
        </w:tc>
      </w:tr>
      <w:tr>
        <w:trPr>
          <w:cantSplit w:val="0"/>
          <w:tblHeader w:val="0"/>
        </w:trPr>
        <w:tc>
          <w:tcPr>
            <w:shd w:fill="fff2cc" w:val="clear"/>
          </w:tcPr>
          <w:p w:rsidR="00000000" w:rsidDel="00000000" w:rsidP="00000000" w:rsidRDefault="00000000" w:rsidRPr="00000000" w14:paraId="00000078">
            <w:pPr>
              <w:spacing w:after="96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Addendum EU SCCs</w:t>
            </w:r>
          </w:p>
        </w:tc>
        <w:tc>
          <w:tcPr/>
          <w:p w:rsidR="00000000" w:rsidDel="00000000" w:rsidP="00000000" w:rsidRDefault="00000000" w:rsidRPr="00000000" w14:paraId="00000079">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version(s) of the Approved EU SCCs which this Addendum is appended to, as set out in Table 2, including the Appendix Information.</w:t>
            </w:r>
          </w:p>
        </w:tc>
      </w:tr>
      <w:tr>
        <w:trPr>
          <w:cantSplit w:val="0"/>
          <w:tblHeader w:val="0"/>
        </w:trPr>
        <w:tc>
          <w:tcPr>
            <w:shd w:fill="fff2cc" w:val="clear"/>
          </w:tcPr>
          <w:p w:rsidR="00000000" w:rsidDel="00000000" w:rsidP="00000000" w:rsidRDefault="00000000" w:rsidRPr="00000000" w14:paraId="0000007A">
            <w:pPr>
              <w:spacing w:after="36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Information</w:t>
            </w:r>
          </w:p>
        </w:tc>
        <w:tc>
          <w:tcPr/>
          <w:p w:rsidR="00000000" w:rsidDel="00000000" w:rsidP="00000000" w:rsidRDefault="00000000" w:rsidRPr="00000000" w14:paraId="0000007B">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set out in Table 3.</w:t>
            </w:r>
          </w:p>
        </w:tc>
      </w:tr>
      <w:tr>
        <w:trPr>
          <w:cantSplit w:val="0"/>
          <w:tblHeader w:val="0"/>
        </w:trPr>
        <w:tc>
          <w:tcPr>
            <w:shd w:fill="fff2cc" w:val="clear"/>
          </w:tcPr>
          <w:p w:rsidR="00000000" w:rsidDel="00000000" w:rsidP="00000000" w:rsidRDefault="00000000" w:rsidRPr="00000000" w14:paraId="0000007C">
            <w:pPr>
              <w:spacing w:after="96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Appropriate Safeguards</w:t>
            </w:r>
          </w:p>
        </w:tc>
        <w:tc>
          <w:tcPr/>
          <w:p w:rsidR="00000000" w:rsidDel="00000000" w:rsidP="00000000" w:rsidRDefault="00000000" w:rsidRPr="00000000" w14:paraId="0000007D">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standard of protection over the personal data and of data subjects’ rights, which is required by UK Data Protection Laws when you are making a Restricted Transfer relying on standard data protection clauses under Article 46(2)(d) UK GDPR.</w:t>
            </w:r>
          </w:p>
        </w:tc>
      </w:tr>
      <w:tr>
        <w:trPr>
          <w:cantSplit w:val="0"/>
          <w:tblHeader w:val="0"/>
        </w:trPr>
        <w:tc>
          <w:tcPr>
            <w:shd w:fill="fff2cc" w:val="clear"/>
          </w:tcPr>
          <w:p w:rsidR="00000000" w:rsidDel="00000000" w:rsidP="00000000" w:rsidRDefault="00000000" w:rsidRPr="00000000" w14:paraId="0000007E">
            <w:pPr>
              <w:spacing w:after="120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Approved Addendum</w:t>
            </w:r>
          </w:p>
        </w:tc>
        <w:tc>
          <w:tcPr/>
          <w:p w:rsidR="00000000" w:rsidDel="00000000" w:rsidP="00000000" w:rsidRDefault="00000000" w:rsidRPr="00000000" w14:paraId="0000007F">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template Addendum issued by the ICO and laid before Parliament in accordance with s119A of the Data Protection Act 2018 on 2 February 2022, as it is revised under Section 18.</w:t>
            </w:r>
          </w:p>
        </w:tc>
      </w:tr>
      <w:tr>
        <w:trPr>
          <w:cantSplit w:val="0"/>
          <w:tblHeader w:val="0"/>
        </w:trPr>
        <w:tc>
          <w:tcPr>
            <w:shd w:fill="fff2cc" w:val="clear"/>
          </w:tcPr>
          <w:p w:rsidR="00000000" w:rsidDel="00000000" w:rsidP="00000000" w:rsidRDefault="00000000" w:rsidRPr="00000000" w14:paraId="00000080">
            <w:pPr>
              <w:spacing w:after="96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Approved EU SCCs</w:t>
            </w:r>
          </w:p>
        </w:tc>
        <w:tc>
          <w:tcPr/>
          <w:p w:rsidR="00000000" w:rsidDel="00000000" w:rsidP="00000000" w:rsidRDefault="00000000" w:rsidRPr="00000000" w14:paraId="00000081">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Standard Contractual Clauses set out in the Annex of Commission Implementing Decision (EU) 2021/914 of 4 June 2021.</w:t>
            </w:r>
          </w:p>
        </w:tc>
      </w:tr>
      <w:tr>
        <w:trPr>
          <w:cantSplit w:val="0"/>
          <w:tblHeader w:val="0"/>
        </w:trPr>
        <w:tc>
          <w:tcPr>
            <w:shd w:fill="fff2cc" w:val="clear"/>
          </w:tcPr>
          <w:p w:rsidR="00000000" w:rsidDel="00000000" w:rsidP="00000000" w:rsidRDefault="00000000" w:rsidRPr="00000000" w14:paraId="00000082">
            <w:pPr>
              <w:spacing w:after="36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ICO</w:t>
            </w:r>
          </w:p>
        </w:tc>
        <w:tc>
          <w:tcPr/>
          <w:p w:rsidR="00000000" w:rsidDel="00000000" w:rsidP="00000000" w:rsidRDefault="00000000" w:rsidRPr="00000000" w14:paraId="00000083">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Information Commissioner.</w:t>
            </w:r>
          </w:p>
        </w:tc>
      </w:tr>
      <w:tr>
        <w:trPr>
          <w:cantSplit w:val="0"/>
          <w:tblHeader w:val="0"/>
        </w:trPr>
        <w:tc>
          <w:tcPr>
            <w:shd w:fill="fff2cc" w:val="clear"/>
          </w:tcPr>
          <w:p w:rsidR="00000000" w:rsidDel="00000000" w:rsidP="00000000" w:rsidRDefault="00000000" w:rsidRPr="00000000" w14:paraId="00000084">
            <w:pPr>
              <w:spacing w:after="8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Restricted Transfer</w:t>
            </w:r>
          </w:p>
        </w:tc>
        <w:tc>
          <w:tcPr/>
          <w:p w:rsidR="00000000" w:rsidDel="00000000" w:rsidP="00000000" w:rsidRDefault="00000000" w:rsidRPr="00000000" w14:paraId="00000085">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transfer which is covered by Chapter V of the UK GDPR.</w:t>
            </w:r>
          </w:p>
        </w:tc>
      </w:tr>
      <w:tr>
        <w:trPr>
          <w:cantSplit w:val="0"/>
          <w:tblHeader w:val="0"/>
        </w:trPr>
        <w:tc>
          <w:tcPr>
            <w:shd w:fill="fff2cc" w:val="clear"/>
          </w:tcPr>
          <w:p w:rsidR="00000000" w:rsidDel="00000000" w:rsidP="00000000" w:rsidRDefault="00000000" w:rsidRPr="00000000" w14:paraId="00000086">
            <w:pPr>
              <w:spacing w:after="480" w:before="3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UK</w:t>
            </w:r>
          </w:p>
        </w:tc>
        <w:tc>
          <w:tcPr/>
          <w:p w:rsidR="00000000" w:rsidDel="00000000" w:rsidP="00000000" w:rsidRDefault="00000000" w:rsidRPr="00000000" w14:paraId="00000087">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Kingdom of Great Britain and Northern Ireland.</w:t>
            </w:r>
          </w:p>
        </w:tc>
      </w:tr>
      <w:tr>
        <w:trPr>
          <w:cantSplit w:val="0"/>
          <w:trHeight w:val="1029" w:hRule="atLeast"/>
          <w:tblHeader w:val="0"/>
        </w:trPr>
        <w:tc>
          <w:tcPr>
            <w:shd w:fill="fff2cc" w:val="clear"/>
          </w:tcPr>
          <w:p w:rsidR="00000000" w:rsidDel="00000000" w:rsidP="00000000" w:rsidRDefault="00000000" w:rsidRPr="00000000" w14:paraId="00000088">
            <w:pPr>
              <w:spacing w:after="96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UK Data Protection Laws</w:t>
            </w:r>
          </w:p>
        </w:tc>
        <w:tc>
          <w:tcPr/>
          <w:p w:rsidR="00000000" w:rsidDel="00000000" w:rsidP="00000000" w:rsidRDefault="00000000" w:rsidRPr="00000000" w14:paraId="00000089">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laws relating to data protection, the processing of personal data, privacy and/or electronic communications in force from time to time in the UK, including the UK GDPR and the Data Protection Act 2018.</w:t>
            </w:r>
          </w:p>
        </w:tc>
      </w:tr>
      <w:tr>
        <w:trPr>
          <w:cantSplit w:val="0"/>
          <w:trHeight w:val="660" w:hRule="atLeast"/>
          <w:tblHeader w:val="0"/>
        </w:trPr>
        <w:tc>
          <w:tcPr>
            <w:shd w:fill="fff2cc" w:val="clear"/>
          </w:tcPr>
          <w:p w:rsidR="00000000" w:rsidDel="00000000" w:rsidP="00000000" w:rsidRDefault="00000000" w:rsidRPr="00000000" w14:paraId="0000008A">
            <w:pPr>
              <w:spacing w:after="360" w:before="3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UK GDPR</w:t>
            </w:r>
          </w:p>
        </w:tc>
        <w:tc>
          <w:tcPr/>
          <w:p w:rsidR="00000000" w:rsidDel="00000000" w:rsidP="00000000" w:rsidRDefault="00000000" w:rsidRPr="00000000" w14:paraId="0000008B">
            <w:pPr>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defined in section 3 of the Data Protection Act 2018.</w:t>
            </w:r>
          </w:p>
        </w:tc>
      </w:tr>
    </w:tbl>
    <w:p w:rsidR="00000000" w:rsidDel="00000000" w:rsidP="00000000" w:rsidRDefault="00000000" w:rsidRPr="00000000" w14:paraId="0000008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This Addendum must always be interpreted in a manner that is consistent with UK Data Protection Laws and so that it fulfils the Parties’ obligation to provide the Appropriate Safeguards.</w:t>
      </w:r>
    </w:p>
    <w:p w:rsidR="00000000" w:rsidDel="00000000" w:rsidP="00000000" w:rsidRDefault="00000000" w:rsidRPr="00000000" w14:paraId="0000008E">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rsidR="00000000" w:rsidDel="00000000" w:rsidP="00000000" w:rsidRDefault="00000000" w:rsidRPr="00000000" w14:paraId="0000008F">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there is any inconsistency or conflict between UK Data Protection Laws and this Addendum, UK Data Protection Laws applies.</w:t>
      </w:r>
    </w:p>
    <w:p w:rsidR="00000000" w:rsidDel="00000000" w:rsidP="00000000" w:rsidRDefault="00000000" w:rsidRPr="00000000" w14:paraId="00000090">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the meaning of this Addendum is unclear or there is more than one meaning, the meaning which most closely aligns with UK Data Protection Laws applies.</w:t>
      </w:r>
    </w:p>
    <w:p w:rsidR="00000000" w:rsidDel="00000000" w:rsidP="00000000" w:rsidRDefault="00000000" w:rsidRPr="00000000" w14:paraId="00000091">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Any references to legislation (or specific provisions of legislation) means that legislation (or specific provision) as it may change over time. This includes where that legislation (or specific provision) has been consolidated, re- enacted and/or replaced after this Addendum has been entered into.</w:t>
      </w:r>
    </w:p>
    <w:p w:rsidR="00000000" w:rsidDel="00000000" w:rsidP="00000000" w:rsidRDefault="00000000" w:rsidRPr="00000000" w14:paraId="00000092">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Hierarchy</w:t>
      </w:r>
    </w:p>
    <w:p w:rsidR="00000000" w:rsidDel="00000000" w:rsidP="00000000" w:rsidRDefault="00000000" w:rsidRPr="00000000" w14:paraId="00000093">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Although Clause 5 of the Approved EU SCCs sets out that the Approved EU SCCs prevail over all related agreements between the parties, the parties agree that, for Restricted Transfers, the hierarchy in Section 10 will prevail.</w:t>
      </w:r>
    </w:p>
    <w:p w:rsidR="00000000" w:rsidDel="00000000" w:rsidP="00000000" w:rsidRDefault="00000000" w:rsidRPr="00000000" w14:paraId="00000094">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rsidR="00000000" w:rsidDel="00000000" w:rsidP="00000000" w:rsidRDefault="00000000" w:rsidRPr="00000000" w14:paraId="00000095">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 this Addendum incorporates Addendum EU SCCs which have been entered into to protect transfers subject to the General Data Protection Regulation (EU) 2016/679 then the Parties acknowledge that nothing in this Addendum impacts those Addendum EU SCCs.</w:t>
      </w:r>
    </w:p>
    <w:p w:rsidR="00000000" w:rsidDel="00000000" w:rsidP="00000000" w:rsidRDefault="00000000" w:rsidRPr="00000000" w14:paraId="00000096">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Incorporation of and changes to the EU SCCs</w:t>
      </w:r>
    </w:p>
    <w:p w:rsidR="00000000" w:rsidDel="00000000" w:rsidP="00000000" w:rsidRDefault="00000000" w:rsidRPr="00000000" w14:paraId="00000097">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This Addendum incorporates the Addendum EU SCCs which are amended to the extent necessary so that:</w:t>
      </w:r>
    </w:p>
    <w:p w:rsidR="00000000" w:rsidDel="00000000" w:rsidP="00000000" w:rsidRDefault="00000000" w:rsidRPr="00000000" w14:paraId="00000098">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w:t>
      </w:r>
    </w:p>
    <w:p w:rsidR="00000000" w:rsidDel="00000000" w:rsidP="00000000" w:rsidRDefault="00000000" w:rsidRPr="00000000" w14:paraId="00000099">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Sections 9 to 11 override Clause 5 (Hierarchy) of the Addendum EU SCCs; and</w:t>
      </w:r>
    </w:p>
    <w:p w:rsidR="00000000" w:rsidDel="00000000" w:rsidP="00000000" w:rsidRDefault="00000000" w:rsidRPr="00000000" w14:paraId="0000009A">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rsidR="00000000" w:rsidDel="00000000" w:rsidP="00000000" w:rsidRDefault="00000000" w:rsidRPr="00000000" w14:paraId="0000009B">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Unless the Parties have agreed alternative amendments which meet the requirements of Section 12, the provisions of Section 15 will apply.</w:t>
      </w:r>
    </w:p>
    <w:p w:rsidR="00000000" w:rsidDel="00000000" w:rsidP="00000000" w:rsidRDefault="00000000" w:rsidRPr="00000000" w14:paraId="0000009C">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amendments to the Approved EU SCCs other than to meet the requirements of Section 12 may be made.</w:t>
      </w:r>
    </w:p>
    <w:p w:rsidR="00000000" w:rsidDel="00000000" w:rsidP="00000000" w:rsidRDefault="00000000" w:rsidRPr="00000000" w14:paraId="0000009D">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following amendments to the Addendum EU SCCs (for the purpose of Section 12) are made:</w:t>
      </w:r>
    </w:p>
    <w:p w:rsidR="00000000" w:rsidDel="00000000" w:rsidP="00000000" w:rsidRDefault="00000000" w:rsidRPr="00000000" w14:paraId="0000009E">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References to the “Clauses” means this Addendum, incorporating the Addendum EU SCCs;</w:t>
      </w:r>
    </w:p>
    <w:p w:rsidR="00000000" w:rsidDel="00000000" w:rsidP="00000000" w:rsidRDefault="00000000" w:rsidRPr="00000000" w14:paraId="0000009F">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Clause 2, delete the words:</w:t>
      </w:r>
    </w:p>
    <w:p w:rsidR="00000000" w:rsidDel="00000000" w:rsidP="00000000" w:rsidRDefault="00000000" w:rsidRPr="00000000" w14:paraId="000000A0">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with respect to data transfers from controllers to processors and/or processors to processors, standard contractual clauses pursuant to Article 28(7) of Regulation (EU) 2016/679”;</w:t>
      </w:r>
    </w:p>
    <w:p w:rsidR="00000000" w:rsidDel="00000000" w:rsidP="00000000" w:rsidRDefault="00000000" w:rsidRPr="00000000" w14:paraId="000000A1">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Clause 6 (Description of the transfer(s)) is replaced with:</w:t>
      </w:r>
    </w:p>
    <w:p w:rsidR="00000000" w:rsidDel="00000000" w:rsidP="00000000" w:rsidRDefault="00000000" w:rsidRPr="00000000" w14:paraId="000000A2">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rsidR="00000000" w:rsidDel="00000000" w:rsidP="00000000" w:rsidRDefault="00000000" w:rsidRPr="00000000" w14:paraId="000000A3">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Clause 8.7(i) of Module 1 is replaced with:</w:t>
      </w:r>
    </w:p>
    <w:p w:rsidR="00000000" w:rsidDel="00000000" w:rsidP="00000000" w:rsidRDefault="00000000" w:rsidRPr="00000000" w14:paraId="000000A4">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to a country benefitting from adequacy regulations pursuant to Section 17A of the UK GDPR that covers the onward transfer”;</w:t>
      </w:r>
    </w:p>
    <w:p w:rsidR="00000000" w:rsidDel="00000000" w:rsidP="00000000" w:rsidRDefault="00000000" w:rsidRPr="00000000" w14:paraId="000000A5">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Clause 8.8(i) of Modules 2 and 3 is replaced with:</w:t>
      </w:r>
    </w:p>
    <w:p w:rsidR="00000000" w:rsidDel="00000000" w:rsidP="00000000" w:rsidRDefault="00000000" w:rsidRPr="00000000" w14:paraId="000000A6">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onward transfer is to a country benefitting from adequacy regulations pursuant to Section 17A of the UK GDPR that covers the onward transfer;”</w:t>
      </w:r>
    </w:p>
    <w:p w:rsidR="00000000" w:rsidDel="00000000" w:rsidP="00000000" w:rsidRDefault="00000000" w:rsidRPr="00000000" w14:paraId="000000A7">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rsidR="00000000" w:rsidDel="00000000" w:rsidP="00000000" w:rsidRDefault="00000000" w:rsidRPr="00000000" w14:paraId="000000A8">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References to Regulation (EU) 2018/1725 are removed;</w:t>
      </w:r>
    </w:p>
    <w:p w:rsidR="00000000" w:rsidDel="00000000" w:rsidP="00000000" w:rsidRDefault="00000000" w:rsidRPr="00000000" w14:paraId="000000A9">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References to the “European Union”, “Union”, “EU”, “EU Member State”, “Member State” and “EU or Member State” are all replaced with the “UK”;</w:t>
      </w:r>
    </w:p>
    <w:p w:rsidR="00000000" w:rsidDel="00000000" w:rsidP="00000000" w:rsidRDefault="00000000" w:rsidRPr="00000000" w14:paraId="000000AA">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reference to “Clause 12(c)(i)” at Clause 10(b)(i) of Module one, is replaced with “Clause 11(c)(i)”;</w:t>
      </w:r>
    </w:p>
    <w:p w:rsidR="00000000" w:rsidDel="00000000" w:rsidP="00000000" w:rsidRDefault="00000000" w:rsidRPr="00000000" w14:paraId="000000AB">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Clause 13(a) and Part C of Annex I are not used;</w:t>
      </w:r>
    </w:p>
    <w:p w:rsidR="00000000" w:rsidDel="00000000" w:rsidP="00000000" w:rsidRDefault="00000000" w:rsidRPr="00000000" w14:paraId="000000AC">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“competent supervisory authority” and “supervisory authority” are both replaced with the “Information Commissioner”;</w:t>
      </w:r>
    </w:p>
    <w:p w:rsidR="00000000" w:rsidDel="00000000" w:rsidP="00000000" w:rsidRDefault="00000000" w:rsidRPr="00000000" w14:paraId="000000AD">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Clause 16(e), subsection (i) is replaced with:</w:t>
      </w:r>
    </w:p>
    <w:p w:rsidR="00000000" w:rsidDel="00000000" w:rsidP="00000000" w:rsidRDefault="00000000" w:rsidRPr="00000000" w14:paraId="000000AE">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Secretary of State makes regulations pursuant to Section 17A of the Data Protection Act 2018 that cover the transfer of personal data to which these clauses apply;”;</w:t>
      </w:r>
    </w:p>
    <w:p w:rsidR="00000000" w:rsidDel="00000000" w:rsidP="00000000" w:rsidRDefault="00000000" w:rsidRPr="00000000" w14:paraId="000000AF">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Clause 17 is replaced with:</w:t>
      </w:r>
    </w:p>
    <w:p w:rsidR="00000000" w:rsidDel="00000000" w:rsidP="00000000" w:rsidRDefault="00000000" w:rsidRPr="00000000" w14:paraId="000000B0">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“These Clauses are governed by the laws of England and Wales.”;</w:t>
      </w:r>
    </w:p>
    <w:p w:rsidR="00000000" w:rsidDel="00000000" w:rsidP="00000000" w:rsidRDefault="00000000" w:rsidRPr="00000000" w14:paraId="000000B1">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Clause 18 is replaced with:</w:t>
      </w:r>
    </w:p>
    <w:p w:rsidR="00000000" w:rsidDel="00000000" w:rsidP="00000000" w:rsidRDefault="00000000" w:rsidRPr="00000000" w14:paraId="000000B2">
      <w:pPr>
        <w:spacing w:after="160" w:before="200" w:line="240" w:lineRule="auto"/>
        <w:ind w:left="864" w:righ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p w:rsidR="00000000" w:rsidDel="00000000" w:rsidP="00000000" w:rsidRDefault="00000000" w:rsidRPr="00000000" w14:paraId="000000B3">
      <w:pPr>
        <w:numPr>
          <w:ilvl w:val="1"/>
          <w:numId w:val="1"/>
        </w:numPr>
        <w:spacing w:after="240" w:line="240" w:lineRule="auto"/>
        <w:ind w:left="79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footnotes to the Approved EU SCCs do not form part of the Addendum, except for footnotes 8, 9, 10 and 11.</w:t>
      </w:r>
    </w:p>
    <w:p w:rsidR="00000000" w:rsidDel="00000000" w:rsidP="00000000" w:rsidRDefault="00000000" w:rsidRPr="00000000" w14:paraId="000000B4">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 to this Addendum</w:t>
      </w:r>
    </w:p>
    <w:p w:rsidR="00000000" w:rsidDel="00000000" w:rsidP="00000000" w:rsidRDefault="00000000" w:rsidRPr="00000000" w14:paraId="000000B5">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Parties may agree to change Clauses 17 and/or 18 of the Addendum EU SCCs to refer to the laws and/or courts of Scotland or Northern Ireland.</w:t>
      </w:r>
    </w:p>
    <w:p w:rsidR="00000000" w:rsidDel="00000000" w:rsidP="00000000" w:rsidRDefault="00000000" w:rsidRPr="00000000" w14:paraId="000000B6">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the Parties wish to change the format of the information included in Part 1: Tables of the Approved Addendum, they may do so by agreeing to the change in writing, provided that the change does not reduce the Appropriate Safeguards.</w:t>
      </w:r>
    </w:p>
    <w:p w:rsidR="00000000" w:rsidDel="00000000" w:rsidP="00000000" w:rsidRDefault="00000000" w:rsidRPr="00000000" w14:paraId="000000B7">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From time to time, the ICO may issue a revised Approved Addendum which:</w:t>
      </w:r>
    </w:p>
    <w:p w:rsidR="00000000" w:rsidDel="00000000" w:rsidP="00000000" w:rsidRDefault="00000000" w:rsidRPr="00000000" w14:paraId="000000B8">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makes reasonable and proportionate changes to the Approved Addendum, including correcting errors in the Approved Addendum; and/or</w:t>
      </w:r>
    </w:p>
    <w:p w:rsidR="00000000" w:rsidDel="00000000" w:rsidP="00000000" w:rsidRDefault="00000000" w:rsidRPr="00000000" w14:paraId="000000B9">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reflects changes to UK Data Protection Laws;</w:t>
      </w:r>
    </w:p>
    <w:p w:rsidR="00000000" w:rsidDel="00000000" w:rsidP="00000000" w:rsidRDefault="00000000" w:rsidRPr="00000000" w14:paraId="000000BA">
      <w:pPr>
        <w:spacing w:after="240"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w:t>
      </w:r>
    </w:p>
    <w:p w:rsidR="00000000" w:rsidDel="00000000" w:rsidP="00000000" w:rsidRDefault="00000000" w:rsidRPr="00000000" w14:paraId="000000BB">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the ICO issues a revised Approved Addendum under Section 18, if any Party selected in Table 4 “Ending the Addendum when the Approved Addendum changes”, will as a direct result of the changes in the Approved Addendum have a substantial, disproportionate and demonstrable increase in:</w:t>
      </w:r>
    </w:p>
    <w:p w:rsidR="00000000" w:rsidDel="00000000" w:rsidP="00000000" w:rsidRDefault="00000000" w:rsidRPr="00000000" w14:paraId="000000BC">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its direct costs of performing its obligations under the Addendum; and/or</w:t>
      </w:r>
    </w:p>
    <w:p w:rsidR="00000000" w:rsidDel="00000000" w:rsidP="00000000" w:rsidRDefault="00000000" w:rsidRPr="00000000" w14:paraId="000000BD">
      <w:pPr>
        <w:numPr>
          <w:ilvl w:val="1"/>
          <w:numId w:val="1"/>
        </w:numPr>
        <w:spacing w:after="24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its risk under the Addendum,</w:t>
      </w:r>
    </w:p>
    <w:p w:rsidR="00000000" w:rsidDel="00000000" w:rsidP="00000000" w:rsidRDefault="00000000" w:rsidRPr="00000000" w14:paraId="000000BE">
      <w:pPr>
        <w:spacing w:after="240" w:line="240" w:lineRule="auto"/>
        <w:ind w:left="4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p>
    <w:p w:rsidR="00000000" w:rsidDel="00000000" w:rsidP="00000000" w:rsidRDefault="00000000" w:rsidRPr="00000000" w14:paraId="000000BF">
      <w:pPr>
        <w:numPr>
          <w:ilvl w:val="0"/>
          <w:numId w:val="1"/>
        </w:numPr>
        <w:spacing w:after="240" w:line="240" w:lineRule="auto"/>
        <w:ind w:left="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Parties do not need the consent of any third party to make changes to this Addendum, but any changes must be made in accordance with its terms.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0"/>
        <w:i w:val="0"/>
        <w:smallCaps w:val="0"/>
        <w:strike w:val="0"/>
        <w:color w:val="000000"/>
        <w:sz w:val="24"/>
        <w:szCs w:val="24"/>
        <w:u w:val="none"/>
        <w:vertAlign w:val="baseline"/>
      </w:rPr>
    </w:lvl>
    <w:lvl w:ilvl="1">
      <w:start w:val="1"/>
      <w:numFmt w:val="lowerLetter"/>
      <w:lvlText w:val="%2."/>
      <w:lvlJc w:val="left"/>
      <w:pPr>
        <w:ind w:left="1080" w:hanging="360"/>
      </w:pPr>
      <w:rPr>
        <w:b w:val="0"/>
        <w:i w:val="0"/>
        <w:smallCaps w:val="0"/>
        <w:strike w:val="0"/>
        <w:color w:val="000000"/>
        <w:sz w:val="24"/>
        <w:szCs w:val="24"/>
        <w:u w:val="none"/>
        <w:vertAlign w:val="baseline"/>
      </w:rPr>
    </w:lvl>
    <w:lvl w:ilvl="2">
      <w:start w:val="1"/>
      <w:numFmt w:val="lowerRoman"/>
      <w:lvlText w:val="(%3)"/>
      <w:lvlJc w:val="left"/>
      <w:pPr>
        <w:ind w:left="0" w:firstLine="2160"/>
      </w:pPr>
      <w:rPr>
        <w:b w:val="0"/>
        <w:i w:val="0"/>
        <w:smallCaps w:val="0"/>
        <w:strike w:val="0"/>
        <w:color w:val="000000"/>
        <w:sz w:val="24"/>
        <w:szCs w:val="24"/>
        <w:u w:val="none"/>
        <w:vertAlign w:val="baseline"/>
      </w:rPr>
    </w:lvl>
    <w:lvl w:ilvl="3">
      <w:start w:val="1"/>
      <w:numFmt w:val="decimal"/>
      <w:lvlText w:val="(%4)"/>
      <w:lvlJc w:val="left"/>
      <w:pPr>
        <w:ind w:left="0" w:firstLine="2880"/>
      </w:pPr>
      <w:rPr>
        <w:b w:val="0"/>
        <w:i w:val="0"/>
        <w:smallCaps w:val="0"/>
        <w:strike w:val="0"/>
        <w:color w:val="000000"/>
        <w:sz w:val="24"/>
        <w:szCs w:val="24"/>
        <w:u w:val="none"/>
        <w:vertAlign w:val="baseline"/>
      </w:rPr>
    </w:lvl>
    <w:lvl w:ilvl="4">
      <w:start w:val="1"/>
      <w:numFmt w:val="lowerLetter"/>
      <w:lvlText w:val="%5."/>
      <w:lvlJc w:val="left"/>
      <w:pPr>
        <w:ind w:left="0" w:firstLine="3600"/>
      </w:pPr>
      <w:rPr>
        <w:b w:val="0"/>
        <w:i w:val="0"/>
        <w:smallCaps w:val="0"/>
        <w:strike w:val="0"/>
        <w:color w:val="000000"/>
        <w:sz w:val="24"/>
        <w:szCs w:val="24"/>
        <w:u w:val="none"/>
        <w:vertAlign w:val="baseline"/>
      </w:rPr>
    </w:lvl>
    <w:lvl w:ilvl="5">
      <w:start w:val="1"/>
      <w:numFmt w:val="lowerRoman"/>
      <w:lvlText w:val="%6."/>
      <w:lvlJc w:val="left"/>
      <w:pPr>
        <w:ind w:left="0" w:firstLine="4320"/>
      </w:pPr>
      <w:rPr>
        <w:b w:val="0"/>
        <w:i w:val="0"/>
        <w:smallCaps w:val="0"/>
        <w:strike w:val="0"/>
        <w:color w:val="000000"/>
        <w:sz w:val="24"/>
        <w:szCs w:val="24"/>
        <w:u w:val="none"/>
        <w:vertAlign w:val="baseline"/>
      </w:rPr>
    </w:lvl>
    <w:lvl w:ilvl="6">
      <w:start w:val="1"/>
      <w:numFmt w:val="decimal"/>
      <w:lvlText w:val="%7)"/>
      <w:lvlJc w:val="left"/>
      <w:pPr>
        <w:ind w:left="0" w:firstLine="5040"/>
      </w:pPr>
      <w:rPr>
        <w:b w:val="0"/>
        <w:i w:val="0"/>
        <w:smallCaps w:val="0"/>
        <w:strike w:val="0"/>
        <w:color w:val="000000"/>
        <w:sz w:val="24"/>
        <w:szCs w:val="24"/>
        <w:u w:val="none"/>
        <w:vertAlign w:val="baseline"/>
      </w:rPr>
    </w:lvl>
    <w:lvl w:ilvl="7">
      <w:start w:val="1"/>
      <w:numFmt w:val="lowerLetter"/>
      <w:lvlText w:val="%8)"/>
      <w:lvlJc w:val="left"/>
      <w:pPr>
        <w:ind w:left="0" w:firstLine="5760"/>
      </w:pPr>
      <w:rPr>
        <w:b w:val="0"/>
        <w:i w:val="0"/>
        <w:smallCaps w:val="0"/>
        <w:strike w:val="0"/>
        <w:color w:val="000000"/>
        <w:sz w:val="24"/>
        <w:szCs w:val="24"/>
        <w:u w:val="none"/>
        <w:vertAlign w:val="baseline"/>
      </w:rPr>
    </w:lvl>
    <w:lvl w:ilvl="8">
      <w:start w:val="1"/>
      <w:numFmt w:val="lowerRoman"/>
      <w:lvlText w:val="%9)"/>
      <w:lvlJc w:val="left"/>
      <w:pPr>
        <w:ind w:left="0" w:firstLine="6480"/>
      </w:pPr>
      <w:rPr>
        <w:b w:val="0"/>
        <w:i w:val="0"/>
        <w:smallCaps w:val="0"/>
        <w:strike w:val="0"/>
        <w:color w:val="000000"/>
        <w:sz w:val="24"/>
        <w:szCs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