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A59C9E" w14:textId="77777777" w:rsidR="00150E9E" w:rsidRDefault="00000000">
      <w:pPr>
        <w:spacing w:after="24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SCHEDULE F</w:t>
      </w:r>
    </w:p>
    <w:p w14:paraId="69761F9B" w14:textId="77777777" w:rsidR="00150E9E" w:rsidRDefault="00000000">
      <w:pPr>
        <w:spacing w:before="48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International Data Transfer Addendum to the EU Commission Standard Contractual Clauses (Version B1.0, in force 21 March 2022)</w:t>
      </w:r>
    </w:p>
    <w:p w14:paraId="73A75EB6" w14:textId="77777777" w:rsidR="00150E9E" w:rsidRDefault="00000000">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Part 1: Tables</w:t>
      </w:r>
    </w:p>
    <w:p w14:paraId="76E97169" w14:textId="77777777" w:rsidR="00150E9E" w:rsidRDefault="00000000">
      <w:pPr>
        <w:spacing w:after="24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Table 1: Parties</w:t>
      </w:r>
    </w:p>
    <w:tbl>
      <w:tblPr>
        <w:tblStyle w:val="a"/>
        <w:tblW w:w="9340" w:type="dxa"/>
        <w:tblBorders>
          <w:top w:val="single" w:sz="8" w:space="0" w:color="FFD965"/>
          <w:left w:val="single" w:sz="8" w:space="0" w:color="FFD965"/>
          <w:bottom w:val="single" w:sz="8" w:space="0" w:color="FFD965"/>
          <w:right w:val="single" w:sz="8" w:space="0" w:color="FFD965"/>
          <w:insideH w:val="single" w:sz="8" w:space="0" w:color="FFD965"/>
          <w:insideV w:val="single" w:sz="8" w:space="0" w:color="FFD965"/>
        </w:tblBorders>
        <w:tblLayout w:type="fixed"/>
        <w:tblLook w:val="0400" w:firstRow="0" w:lastRow="0" w:firstColumn="0" w:lastColumn="0" w:noHBand="0" w:noVBand="1"/>
      </w:tblPr>
      <w:tblGrid>
        <w:gridCol w:w="2423"/>
        <w:gridCol w:w="3596"/>
        <w:gridCol w:w="3321"/>
      </w:tblGrid>
      <w:tr w:rsidR="00150E9E" w14:paraId="738100D3" w14:textId="77777777">
        <w:tc>
          <w:tcPr>
            <w:tcW w:w="2423" w:type="dxa"/>
            <w:shd w:val="clear" w:color="auto" w:fill="FFF2CC"/>
          </w:tcPr>
          <w:p w14:paraId="74B0CEBD" w14:textId="77777777" w:rsidR="00150E9E" w:rsidRDefault="00000000">
            <w:pPr>
              <w:spacing w:before="360" w:after="360"/>
              <w:rPr>
                <w:rFonts w:ascii="Times New Roman" w:eastAsia="Times New Roman" w:hAnsi="Times New Roman" w:cs="Times New Roman"/>
                <w:b/>
                <w:sz w:val="20"/>
                <w:szCs w:val="20"/>
              </w:rPr>
            </w:pPr>
            <w:r>
              <w:rPr>
                <w:rFonts w:ascii="Times New Roman" w:eastAsia="Times New Roman" w:hAnsi="Times New Roman" w:cs="Times New Roman"/>
                <w:b/>
                <w:sz w:val="20"/>
                <w:szCs w:val="20"/>
              </w:rPr>
              <w:t>Start date</w:t>
            </w:r>
          </w:p>
        </w:tc>
        <w:tc>
          <w:tcPr>
            <w:tcW w:w="6917" w:type="dxa"/>
            <w:gridSpan w:val="2"/>
          </w:tcPr>
          <w:p w14:paraId="3DF823C5"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Effective Date of the Agreement.</w:t>
            </w:r>
          </w:p>
        </w:tc>
      </w:tr>
      <w:tr w:rsidR="00150E9E" w14:paraId="0555FB1E" w14:textId="77777777">
        <w:tc>
          <w:tcPr>
            <w:tcW w:w="2423" w:type="dxa"/>
            <w:shd w:val="clear" w:color="auto" w:fill="FFE7A3"/>
          </w:tcPr>
          <w:p w14:paraId="37098AB3" w14:textId="77777777" w:rsidR="00150E9E" w:rsidRDefault="00000000">
            <w:pPr>
              <w:spacing w:before="480" w:after="480"/>
              <w:rPr>
                <w:rFonts w:ascii="Times New Roman" w:eastAsia="Times New Roman" w:hAnsi="Times New Roman" w:cs="Times New Roman"/>
                <w:b/>
                <w:sz w:val="20"/>
                <w:szCs w:val="20"/>
              </w:rPr>
            </w:pPr>
            <w:r>
              <w:rPr>
                <w:rFonts w:ascii="Times New Roman" w:eastAsia="Times New Roman" w:hAnsi="Times New Roman" w:cs="Times New Roman"/>
                <w:b/>
                <w:sz w:val="20"/>
                <w:szCs w:val="20"/>
              </w:rPr>
              <w:t>The Parties</w:t>
            </w:r>
          </w:p>
        </w:tc>
        <w:tc>
          <w:tcPr>
            <w:tcW w:w="3596" w:type="dxa"/>
            <w:shd w:val="clear" w:color="auto" w:fill="FFE7A3"/>
          </w:tcPr>
          <w:p w14:paraId="041ACC2C" w14:textId="77777777" w:rsidR="00150E9E" w:rsidRDefault="00000000">
            <w:pPr>
              <w:spacing w:before="360" w:after="240"/>
              <w:rPr>
                <w:rFonts w:ascii="Times New Roman" w:eastAsia="Times New Roman" w:hAnsi="Times New Roman" w:cs="Times New Roman"/>
                <w:b/>
                <w:sz w:val="20"/>
                <w:szCs w:val="20"/>
              </w:rPr>
            </w:pPr>
            <w:r>
              <w:rPr>
                <w:rFonts w:ascii="Times New Roman" w:eastAsia="Times New Roman" w:hAnsi="Times New Roman" w:cs="Times New Roman"/>
                <w:b/>
                <w:sz w:val="20"/>
                <w:szCs w:val="20"/>
              </w:rPr>
              <w:t>Exporter (who sends the Restricted Transfer)</w:t>
            </w:r>
          </w:p>
        </w:tc>
        <w:tc>
          <w:tcPr>
            <w:tcW w:w="3321" w:type="dxa"/>
            <w:shd w:val="clear" w:color="auto" w:fill="FFE7A3"/>
          </w:tcPr>
          <w:p w14:paraId="131770FB" w14:textId="77777777" w:rsidR="00150E9E" w:rsidRDefault="00000000">
            <w:pPr>
              <w:spacing w:before="360" w:after="240"/>
              <w:rPr>
                <w:rFonts w:ascii="Times New Roman" w:eastAsia="Times New Roman" w:hAnsi="Times New Roman" w:cs="Times New Roman"/>
                <w:b/>
                <w:sz w:val="20"/>
                <w:szCs w:val="20"/>
              </w:rPr>
            </w:pPr>
            <w:r>
              <w:rPr>
                <w:rFonts w:ascii="Times New Roman" w:eastAsia="Times New Roman" w:hAnsi="Times New Roman" w:cs="Times New Roman"/>
                <w:b/>
                <w:sz w:val="20"/>
                <w:szCs w:val="20"/>
              </w:rPr>
              <w:t>Importer (who receives the Restricted Transfer)</w:t>
            </w:r>
          </w:p>
        </w:tc>
      </w:tr>
      <w:tr w:rsidR="00150E9E" w14:paraId="592CCB49" w14:textId="77777777">
        <w:tc>
          <w:tcPr>
            <w:tcW w:w="2423" w:type="dxa"/>
            <w:shd w:val="clear" w:color="auto" w:fill="FFF2CC"/>
          </w:tcPr>
          <w:p w14:paraId="4E8F6EA3" w14:textId="77777777" w:rsidR="00150E9E" w:rsidRDefault="00000000">
            <w:pPr>
              <w:spacing w:before="360" w:after="240"/>
              <w:rPr>
                <w:rFonts w:ascii="Times New Roman" w:eastAsia="Times New Roman" w:hAnsi="Times New Roman" w:cs="Times New Roman"/>
                <w:b/>
                <w:sz w:val="20"/>
                <w:szCs w:val="20"/>
              </w:rPr>
            </w:pPr>
            <w:r>
              <w:rPr>
                <w:rFonts w:ascii="Times New Roman" w:eastAsia="Times New Roman" w:hAnsi="Times New Roman" w:cs="Times New Roman"/>
                <w:b/>
                <w:sz w:val="20"/>
                <w:szCs w:val="20"/>
              </w:rPr>
              <w:t>Parties’ details</w:t>
            </w:r>
          </w:p>
        </w:tc>
        <w:tc>
          <w:tcPr>
            <w:tcW w:w="3596" w:type="dxa"/>
          </w:tcPr>
          <w:p w14:paraId="6F943AA7"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Full legal name:</w:t>
            </w:r>
          </w:p>
          <w:p w14:paraId="249B17E6"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See Schedule A of the DPA.</w:t>
            </w:r>
          </w:p>
          <w:p w14:paraId="6CF09683"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Trading name (if different): See Schedule A of the DPA.</w:t>
            </w:r>
          </w:p>
          <w:p w14:paraId="64CB1620"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Main address (if a company registered address): See Schedule A of the DPA.</w:t>
            </w:r>
          </w:p>
          <w:p w14:paraId="5E1CB140"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Official registration number (if any) (company number or similar identifier):</w:t>
            </w:r>
          </w:p>
        </w:tc>
        <w:tc>
          <w:tcPr>
            <w:tcW w:w="3321" w:type="dxa"/>
          </w:tcPr>
          <w:p w14:paraId="0DC8C61C"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Full legal name:</w:t>
            </w:r>
          </w:p>
          <w:p w14:paraId="6A64DC30"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See Schedule A of the DPA.</w:t>
            </w:r>
          </w:p>
          <w:p w14:paraId="3A600A3C"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Trading name (if different): </w:t>
            </w:r>
          </w:p>
          <w:p w14:paraId="11756FC0"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Main address (if a company registered address): See Schedule A of the DPA.</w:t>
            </w:r>
          </w:p>
          <w:p w14:paraId="614CC4F5"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Official registration number (if any) (company number or similar identifier): </w:t>
            </w:r>
          </w:p>
        </w:tc>
      </w:tr>
      <w:tr w:rsidR="00150E9E" w14:paraId="2D70EB0C" w14:textId="77777777">
        <w:tc>
          <w:tcPr>
            <w:tcW w:w="2423" w:type="dxa"/>
            <w:tcBorders>
              <w:bottom w:val="single" w:sz="8" w:space="0" w:color="FFD965"/>
            </w:tcBorders>
            <w:shd w:val="clear" w:color="auto" w:fill="FFF2CC"/>
          </w:tcPr>
          <w:p w14:paraId="267F9905" w14:textId="77777777" w:rsidR="00150E9E" w:rsidRDefault="00000000">
            <w:pPr>
              <w:spacing w:before="360" w:after="240"/>
              <w:rPr>
                <w:rFonts w:ascii="Times New Roman" w:eastAsia="Times New Roman" w:hAnsi="Times New Roman" w:cs="Times New Roman"/>
                <w:b/>
                <w:sz w:val="20"/>
                <w:szCs w:val="20"/>
              </w:rPr>
            </w:pPr>
            <w:r>
              <w:rPr>
                <w:rFonts w:ascii="Times New Roman" w:eastAsia="Times New Roman" w:hAnsi="Times New Roman" w:cs="Times New Roman"/>
                <w:b/>
                <w:sz w:val="20"/>
                <w:szCs w:val="20"/>
              </w:rPr>
              <w:t>Key Contact</w:t>
            </w:r>
          </w:p>
        </w:tc>
        <w:tc>
          <w:tcPr>
            <w:tcW w:w="3596" w:type="dxa"/>
            <w:tcBorders>
              <w:bottom w:val="single" w:sz="8" w:space="0" w:color="FFD965"/>
            </w:tcBorders>
          </w:tcPr>
          <w:p w14:paraId="081E2511"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Full Name (optional): </w:t>
            </w:r>
          </w:p>
          <w:p w14:paraId="0780C543"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See Schedule A of the DPA.</w:t>
            </w:r>
          </w:p>
          <w:p w14:paraId="721C44C6"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Job Title: </w:t>
            </w:r>
          </w:p>
          <w:p w14:paraId="41874AED"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See Schedule A of the DPA.</w:t>
            </w:r>
          </w:p>
          <w:p w14:paraId="7E524E9F"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Contact details including email: </w:t>
            </w:r>
          </w:p>
          <w:p w14:paraId="369F1283"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See Schedule A of the DPA.</w:t>
            </w:r>
          </w:p>
        </w:tc>
        <w:tc>
          <w:tcPr>
            <w:tcW w:w="3321" w:type="dxa"/>
            <w:tcBorders>
              <w:bottom w:val="single" w:sz="8" w:space="0" w:color="FFD965"/>
            </w:tcBorders>
          </w:tcPr>
          <w:p w14:paraId="0F960309"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Full Name (optional): </w:t>
            </w:r>
          </w:p>
          <w:p w14:paraId="08FF22C6"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See Schedule A of the DPA.</w:t>
            </w:r>
          </w:p>
          <w:p w14:paraId="3EE5C9BD"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Job Title: </w:t>
            </w:r>
          </w:p>
          <w:p w14:paraId="10794043"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See Schedule A of the DPA.</w:t>
            </w:r>
          </w:p>
          <w:p w14:paraId="16A313B3"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Contact details including email: </w:t>
            </w:r>
          </w:p>
          <w:p w14:paraId="093766D7"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See Schedule A of the DPA.</w:t>
            </w:r>
          </w:p>
        </w:tc>
      </w:tr>
      <w:tr w:rsidR="00150E9E" w14:paraId="1D37CEE9" w14:textId="77777777">
        <w:tc>
          <w:tcPr>
            <w:tcW w:w="2423" w:type="dxa"/>
            <w:tcBorders>
              <w:bottom w:val="single" w:sz="18" w:space="0" w:color="FFD965"/>
            </w:tcBorders>
            <w:shd w:val="clear" w:color="auto" w:fill="FFF2CC"/>
          </w:tcPr>
          <w:p w14:paraId="5FF5F3E3" w14:textId="77777777" w:rsidR="00150E9E" w:rsidRDefault="00000000">
            <w:pPr>
              <w:spacing w:before="240" w:after="240"/>
              <w:rPr>
                <w:rFonts w:ascii="Times New Roman" w:eastAsia="Times New Roman" w:hAnsi="Times New Roman" w:cs="Times New Roman"/>
                <w:b/>
                <w:sz w:val="20"/>
                <w:szCs w:val="20"/>
              </w:rPr>
            </w:pPr>
            <w:r>
              <w:rPr>
                <w:rFonts w:ascii="Times New Roman" w:eastAsia="Times New Roman" w:hAnsi="Times New Roman" w:cs="Times New Roman"/>
                <w:b/>
                <w:sz w:val="20"/>
                <w:szCs w:val="20"/>
              </w:rPr>
              <w:t>Signature (if required for the purposes of Section 2)</w:t>
            </w:r>
          </w:p>
        </w:tc>
        <w:tc>
          <w:tcPr>
            <w:tcW w:w="3596" w:type="dxa"/>
            <w:tcBorders>
              <w:bottom w:val="single" w:sz="18" w:space="0" w:color="FFD965"/>
            </w:tcBorders>
          </w:tcPr>
          <w:p w14:paraId="799A4512"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The Parties agree that execution of the Agreement shall constitute execution of this Addendum, if applicable.</w:t>
            </w:r>
          </w:p>
        </w:tc>
        <w:tc>
          <w:tcPr>
            <w:tcW w:w="3321" w:type="dxa"/>
            <w:tcBorders>
              <w:bottom w:val="single" w:sz="18" w:space="0" w:color="FFD965"/>
            </w:tcBorders>
          </w:tcPr>
          <w:p w14:paraId="2E58BC2D"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The Parties agree that execution of the Agreement shall constitute execution of this Addendum, if applicable.</w:t>
            </w:r>
          </w:p>
        </w:tc>
      </w:tr>
    </w:tbl>
    <w:p w14:paraId="01097BD8" w14:textId="77777777" w:rsidR="00150E9E" w:rsidRDefault="00150E9E">
      <w:pPr>
        <w:spacing w:after="240" w:line="240" w:lineRule="auto"/>
        <w:rPr>
          <w:rFonts w:ascii="Times New Roman" w:eastAsia="Times New Roman" w:hAnsi="Times New Roman" w:cs="Times New Roman"/>
          <w:sz w:val="24"/>
          <w:szCs w:val="24"/>
        </w:rPr>
      </w:pPr>
    </w:p>
    <w:p w14:paraId="63E0AD9C" w14:textId="77777777" w:rsidR="00150E9E" w:rsidRDefault="00000000">
      <w:pPr>
        <w:spacing w:after="24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Table 2: Selected SCCs, Modules and Selected Clauses</w:t>
      </w:r>
    </w:p>
    <w:tbl>
      <w:tblPr>
        <w:tblStyle w:val="a0"/>
        <w:tblW w:w="9805" w:type="dxa"/>
        <w:tblBorders>
          <w:top w:val="single" w:sz="8" w:space="0" w:color="FFD965"/>
          <w:left w:val="single" w:sz="8" w:space="0" w:color="FFD965"/>
          <w:bottom w:val="single" w:sz="8" w:space="0" w:color="FFD965"/>
          <w:right w:val="single" w:sz="8" w:space="0" w:color="FFD965"/>
          <w:insideH w:val="single" w:sz="8" w:space="0" w:color="FFD965"/>
          <w:insideV w:val="single" w:sz="8" w:space="0" w:color="FFD965"/>
        </w:tblBorders>
        <w:tblLayout w:type="fixed"/>
        <w:tblLook w:val="0400" w:firstRow="0" w:lastRow="0" w:firstColumn="0" w:lastColumn="0" w:noHBand="0" w:noVBand="1"/>
      </w:tblPr>
      <w:tblGrid>
        <w:gridCol w:w="1003"/>
        <w:gridCol w:w="1400"/>
        <w:gridCol w:w="109"/>
        <w:gridCol w:w="1201"/>
        <w:gridCol w:w="1322"/>
        <w:gridCol w:w="1350"/>
        <w:gridCol w:w="1350"/>
        <w:gridCol w:w="2070"/>
      </w:tblGrid>
      <w:tr w:rsidR="00150E9E" w14:paraId="2120BEF4" w14:textId="77777777">
        <w:tc>
          <w:tcPr>
            <w:tcW w:w="2403" w:type="dxa"/>
            <w:gridSpan w:val="2"/>
            <w:shd w:val="clear" w:color="auto" w:fill="FFF2CC"/>
          </w:tcPr>
          <w:p w14:paraId="3D7136F4" w14:textId="77777777" w:rsidR="00150E9E" w:rsidRDefault="00000000">
            <w:pPr>
              <w:spacing w:after="240"/>
              <w:rPr>
                <w:rFonts w:ascii="Times New Roman" w:eastAsia="Times New Roman" w:hAnsi="Times New Roman" w:cs="Times New Roman"/>
                <w:b/>
                <w:sz w:val="20"/>
                <w:szCs w:val="20"/>
              </w:rPr>
            </w:pPr>
            <w:r>
              <w:rPr>
                <w:rFonts w:ascii="Times New Roman" w:eastAsia="Times New Roman" w:hAnsi="Times New Roman" w:cs="Times New Roman"/>
                <w:b/>
                <w:sz w:val="20"/>
                <w:szCs w:val="20"/>
              </w:rPr>
              <w:lastRenderedPageBreak/>
              <w:t>Addendum EU SCCs</w:t>
            </w:r>
          </w:p>
        </w:tc>
        <w:tc>
          <w:tcPr>
            <w:tcW w:w="7402" w:type="dxa"/>
            <w:gridSpan w:val="6"/>
          </w:tcPr>
          <w:p w14:paraId="3B56088E" w14:textId="77777777" w:rsidR="00150E9E" w:rsidRDefault="00000000">
            <w:pPr>
              <w:ind w:left="360"/>
              <w:rPr>
                <w:rFonts w:ascii="Times New Roman" w:eastAsia="Times New Roman" w:hAnsi="Times New Roman" w:cs="Times New Roman"/>
                <w:sz w:val="20"/>
                <w:szCs w:val="20"/>
              </w:rPr>
            </w:pPr>
            <w:r>
              <w:rPr>
                <w:rFonts w:ascii="MS Gothic" w:eastAsia="MS Gothic" w:hAnsi="MS Gothic" w:cs="MS Gothic"/>
                <w:sz w:val="20"/>
                <w:szCs w:val="20"/>
              </w:rPr>
              <w:t>☒</w:t>
            </w:r>
            <w:r>
              <w:rPr>
                <w:rFonts w:ascii="Times New Roman" w:eastAsia="Times New Roman" w:hAnsi="Times New Roman" w:cs="Times New Roman"/>
                <w:sz w:val="20"/>
                <w:szCs w:val="20"/>
              </w:rPr>
              <w:t>The version of the Approved EU SCCs which this</w:t>
            </w:r>
          </w:p>
          <w:p w14:paraId="6E930839" w14:textId="77777777" w:rsidR="00150E9E" w:rsidRDefault="00000000">
            <w:pPr>
              <w:spacing w:after="240"/>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Addendum is appended to, detailed below, including the Appendix Information:</w:t>
            </w:r>
          </w:p>
          <w:p w14:paraId="19AF6E57"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Date: Effective Date of the Agreement</w:t>
            </w:r>
          </w:p>
          <w:p w14:paraId="7A28CE5A"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Reference (if any)</w:t>
            </w:r>
            <w:proofErr w:type="gramStart"/>
            <w:r>
              <w:rPr>
                <w:rFonts w:ascii="Times New Roman" w:eastAsia="Times New Roman" w:hAnsi="Times New Roman" w:cs="Times New Roman"/>
                <w:sz w:val="20"/>
                <w:szCs w:val="20"/>
              </w:rPr>
              <w:t>:  Schedule</w:t>
            </w:r>
            <w:proofErr w:type="gramEnd"/>
            <w:r>
              <w:rPr>
                <w:rFonts w:ascii="Times New Roman" w:eastAsia="Times New Roman" w:hAnsi="Times New Roman" w:cs="Times New Roman"/>
                <w:sz w:val="20"/>
                <w:szCs w:val="20"/>
              </w:rPr>
              <w:t xml:space="preserve"> D of the DPA (for Controller to Processor Restricted Transfers) or Schedule E of the DPA (for </w:t>
            </w:r>
            <w:proofErr w:type="gramStart"/>
            <w:r>
              <w:rPr>
                <w:rFonts w:ascii="Times New Roman" w:eastAsia="Times New Roman" w:hAnsi="Times New Roman" w:cs="Times New Roman"/>
                <w:sz w:val="20"/>
                <w:szCs w:val="20"/>
              </w:rPr>
              <w:t>Processor to Processor</w:t>
            </w:r>
            <w:proofErr w:type="gramEnd"/>
            <w:r>
              <w:rPr>
                <w:rFonts w:ascii="Times New Roman" w:eastAsia="Times New Roman" w:hAnsi="Times New Roman" w:cs="Times New Roman"/>
                <w:sz w:val="20"/>
                <w:szCs w:val="20"/>
              </w:rPr>
              <w:t xml:space="preserve"> Restricted Transfers)</w:t>
            </w:r>
          </w:p>
          <w:p w14:paraId="0A814F3B" w14:textId="77777777" w:rsidR="00150E9E" w:rsidRDefault="00000000">
            <w:pPr>
              <w:spacing w:after="240"/>
              <w:rPr>
                <w:rFonts w:ascii="Times New Roman" w:eastAsia="Times New Roman" w:hAnsi="Times New Roman" w:cs="Times New Roman"/>
                <w:sz w:val="20"/>
                <w:szCs w:val="20"/>
              </w:rPr>
            </w:pPr>
            <w:proofErr w:type="gramStart"/>
            <w:r>
              <w:rPr>
                <w:rFonts w:ascii="Times New Roman" w:eastAsia="Times New Roman" w:hAnsi="Times New Roman" w:cs="Times New Roman"/>
                <w:sz w:val="20"/>
                <w:szCs w:val="20"/>
              </w:rPr>
              <w:t>Other</w:t>
            </w:r>
            <w:proofErr w:type="gramEnd"/>
            <w:r>
              <w:rPr>
                <w:rFonts w:ascii="Times New Roman" w:eastAsia="Times New Roman" w:hAnsi="Times New Roman" w:cs="Times New Roman"/>
                <w:sz w:val="20"/>
                <w:szCs w:val="20"/>
              </w:rPr>
              <w:t xml:space="preserve"> identifier (if any): N/A</w:t>
            </w:r>
          </w:p>
          <w:p w14:paraId="1DC939B7"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Or</w:t>
            </w:r>
          </w:p>
          <w:p w14:paraId="4BB7EC8F" w14:textId="77777777" w:rsidR="00150E9E" w:rsidRDefault="00000000">
            <w:pPr>
              <w:ind w:left="360"/>
              <w:rPr>
                <w:rFonts w:ascii="Times New Roman" w:eastAsia="Times New Roman" w:hAnsi="Times New Roman" w:cs="Times New Roman"/>
                <w:sz w:val="20"/>
                <w:szCs w:val="20"/>
              </w:rPr>
            </w:pPr>
            <w:r>
              <w:rPr>
                <w:rFonts w:ascii="Arial Unicode MS" w:eastAsia="Arial Unicode MS" w:hAnsi="Arial Unicode MS" w:cs="Arial Unicode MS"/>
                <w:sz w:val="20"/>
                <w:szCs w:val="20"/>
              </w:rPr>
              <w:t>☐</w:t>
            </w:r>
            <w:r>
              <w:rPr>
                <w:rFonts w:ascii="Times New Roman" w:eastAsia="Times New Roman" w:hAnsi="Times New Roman" w:cs="Times New Roman"/>
                <w:sz w:val="20"/>
                <w:szCs w:val="20"/>
              </w:rPr>
              <w:t>the Approved EU SCCs, including the Appendix</w:t>
            </w:r>
          </w:p>
          <w:p w14:paraId="69FB03F0" w14:textId="77777777" w:rsidR="00150E9E" w:rsidRDefault="00000000">
            <w:pPr>
              <w:ind w:left="1350" w:hanging="1008"/>
              <w:rPr>
                <w:rFonts w:ascii="Times New Roman" w:eastAsia="Times New Roman" w:hAnsi="Times New Roman" w:cs="Times New Roman"/>
                <w:sz w:val="20"/>
                <w:szCs w:val="20"/>
              </w:rPr>
            </w:pPr>
            <w:r>
              <w:rPr>
                <w:rFonts w:ascii="Times New Roman" w:eastAsia="Times New Roman" w:hAnsi="Times New Roman" w:cs="Times New Roman"/>
                <w:sz w:val="20"/>
                <w:szCs w:val="20"/>
              </w:rPr>
              <w:t>Information and with only the following modules, clauses</w:t>
            </w:r>
          </w:p>
          <w:p w14:paraId="5DD2EDCB" w14:textId="77777777" w:rsidR="00150E9E" w:rsidRDefault="00000000">
            <w:pPr>
              <w:ind w:left="1350" w:hanging="1008"/>
              <w:rPr>
                <w:rFonts w:ascii="Times New Roman" w:eastAsia="Times New Roman" w:hAnsi="Times New Roman" w:cs="Times New Roman"/>
                <w:sz w:val="20"/>
                <w:szCs w:val="20"/>
              </w:rPr>
            </w:pPr>
            <w:r>
              <w:rPr>
                <w:rFonts w:ascii="Times New Roman" w:eastAsia="Times New Roman" w:hAnsi="Times New Roman" w:cs="Times New Roman"/>
                <w:sz w:val="20"/>
                <w:szCs w:val="20"/>
              </w:rPr>
              <w:t>or optional provisions of the Approved EU SCCs brought</w:t>
            </w:r>
          </w:p>
          <w:p w14:paraId="7FF97C41" w14:textId="77777777" w:rsidR="00150E9E" w:rsidRDefault="00000000">
            <w:pPr>
              <w:spacing w:after="240"/>
              <w:ind w:left="1350" w:hanging="1008"/>
              <w:rPr>
                <w:rFonts w:ascii="Times New Roman" w:eastAsia="Times New Roman" w:hAnsi="Times New Roman" w:cs="Times New Roman"/>
                <w:sz w:val="20"/>
                <w:szCs w:val="20"/>
              </w:rPr>
            </w:pPr>
            <w:r>
              <w:rPr>
                <w:rFonts w:ascii="Times New Roman" w:eastAsia="Times New Roman" w:hAnsi="Times New Roman" w:cs="Times New Roman"/>
                <w:sz w:val="20"/>
                <w:szCs w:val="20"/>
              </w:rPr>
              <w:t>into effect for the purposes of this Addendum:</w:t>
            </w:r>
          </w:p>
        </w:tc>
      </w:tr>
      <w:tr w:rsidR="00150E9E" w14:paraId="28BDC0E0" w14:textId="77777777">
        <w:tc>
          <w:tcPr>
            <w:tcW w:w="1003" w:type="dxa"/>
          </w:tcPr>
          <w:p w14:paraId="004A5B81"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Module</w:t>
            </w:r>
          </w:p>
        </w:tc>
        <w:tc>
          <w:tcPr>
            <w:tcW w:w="1509" w:type="dxa"/>
            <w:gridSpan w:val="2"/>
          </w:tcPr>
          <w:p w14:paraId="3FA51491"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Module in operation</w:t>
            </w:r>
          </w:p>
        </w:tc>
        <w:tc>
          <w:tcPr>
            <w:tcW w:w="1201" w:type="dxa"/>
          </w:tcPr>
          <w:p w14:paraId="3B12DB11"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Clause 7 (Docking Clause)</w:t>
            </w:r>
          </w:p>
        </w:tc>
        <w:tc>
          <w:tcPr>
            <w:tcW w:w="1322" w:type="dxa"/>
          </w:tcPr>
          <w:p w14:paraId="5D6ADB9D"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Clause 11 (Option)</w:t>
            </w:r>
          </w:p>
        </w:tc>
        <w:tc>
          <w:tcPr>
            <w:tcW w:w="1350" w:type="dxa"/>
          </w:tcPr>
          <w:p w14:paraId="6777F7F7"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Clause 9a (Prior </w:t>
            </w:r>
            <w:proofErr w:type="spellStart"/>
            <w:r>
              <w:rPr>
                <w:rFonts w:ascii="Times New Roman" w:eastAsia="Times New Roman" w:hAnsi="Times New Roman" w:cs="Times New Roman"/>
                <w:sz w:val="20"/>
                <w:szCs w:val="20"/>
              </w:rPr>
              <w:t>Authorisa</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tion</w:t>
            </w:r>
            <w:proofErr w:type="spellEnd"/>
            <w:r>
              <w:rPr>
                <w:rFonts w:ascii="Times New Roman" w:eastAsia="Times New Roman" w:hAnsi="Times New Roman" w:cs="Times New Roman"/>
                <w:sz w:val="20"/>
                <w:szCs w:val="20"/>
              </w:rPr>
              <w:t xml:space="preserve"> or General </w:t>
            </w:r>
            <w:proofErr w:type="spellStart"/>
            <w:r>
              <w:rPr>
                <w:rFonts w:ascii="Times New Roman" w:eastAsia="Times New Roman" w:hAnsi="Times New Roman" w:cs="Times New Roman"/>
                <w:sz w:val="20"/>
                <w:szCs w:val="20"/>
              </w:rPr>
              <w:t>Authorisa</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tion</w:t>
            </w:r>
            <w:proofErr w:type="spellEnd"/>
            <w:r>
              <w:rPr>
                <w:rFonts w:ascii="Times New Roman" w:eastAsia="Times New Roman" w:hAnsi="Times New Roman" w:cs="Times New Roman"/>
                <w:sz w:val="20"/>
                <w:szCs w:val="20"/>
              </w:rPr>
              <w:t>)</w:t>
            </w:r>
          </w:p>
        </w:tc>
        <w:tc>
          <w:tcPr>
            <w:tcW w:w="1350" w:type="dxa"/>
          </w:tcPr>
          <w:p w14:paraId="0070A815"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Clause 9a (Time period)</w:t>
            </w:r>
          </w:p>
        </w:tc>
        <w:tc>
          <w:tcPr>
            <w:tcW w:w="2070" w:type="dxa"/>
          </w:tcPr>
          <w:p w14:paraId="7CECEFF0"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Is personal data received from the Importer combined with personal data collected by the Exporter?</w:t>
            </w:r>
          </w:p>
        </w:tc>
      </w:tr>
      <w:tr w:rsidR="00150E9E" w14:paraId="3A477326" w14:textId="77777777">
        <w:tc>
          <w:tcPr>
            <w:tcW w:w="1003" w:type="dxa"/>
          </w:tcPr>
          <w:p w14:paraId="129D2BF7"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509" w:type="dxa"/>
            <w:gridSpan w:val="2"/>
          </w:tcPr>
          <w:p w14:paraId="32AC6D5C" w14:textId="54470935" w:rsidR="00150E9E" w:rsidRDefault="00150E9E">
            <w:pPr>
              <w:spacing w:after="240"/>
              <w:rPr>
                <w:rFonts w:ascii="Times New Roman" w:eastAsia="Times New Roman" w:hAnsi="Times New Roman" w:cs="Times New Roman"/>
                <w:sz w:val="20"/>
                <w:szCs w:val="20"/>
              </w:rPr>
            </w:pPr>
          </w:p>
        </w:tc>
        <w:tc>
          <w:tcPr>
            <w:tcW w:w="1201" w:type="dxa"/>
          </w:tcPr>
          <w:p w14:paraId="1BEC38F7" w14:textId="2C18F3A0" w:rsidR="00150E9E" w:rsidRDefault="00150E9E">
            <w:pPr>
              <w:spacing w:after="240"/>
              <w:rPr>
                <w:rFonts w:ascii="Times New Roman" w:eastAsia="Times New Roman" w:hAnsi="Times New Roman" w:cs="Times New Roman"/>
                <w:sz w:val="20"/>
                <w:szCs w:val="20"/>
              </w:rPr>
            </w:pPr>
          </w:p>
        </w:tc>
        <w:tc>
          <w:tcPr>
            <w:tcW w:w="1322" w:type="dxa"/>
          </w:tcPr>
          <w:p w14:paraId="50522DB4" w14:textId="0287BAE1" w:rsidR="00150E9E" w:rsidRDefault="00150E9E">
            <w:pPr>
              <w:spacing w:after="240"/>
              <w:rPr>
                <w:rFonts w:ascii="Times New Roman" w:eastAsia="Times New Roman" w:hAnsi="Times New Roman" w:cs="Times New Roman"/>
                <w:sz w:val="20"/>
                <w:szCs w:val="20"/>
              </w:rPr>
            </w:pPr>
          </w:p>
        </w:tc>
        <w:tc>
          <w:tcPr>
            <w:tcW w:w="1350" w:type="dxa"/>
            <w:shd w:val="clear" w:color="auto" w:fill="FFF2CC"/>
          </w:tcPr>
          <w:p w14:paraId="7BB02149" w14:textId="34AA40E1" w:rsidR="00150E9E" w:rsidRDefault="00150E9E">
            <w:pPr>
              <w:spacing w:after="240"/>
              <w:rPr>
                <w:rFonts w:ascii="Times New Roman" w:eastAsia="Times New Roman" w:hAnsi="Times New Roman" w:cs="Times New Roman"/>
                <w:sz w:val="20"/>
                <w:szCs w:val="20"/>
              </w:rPr>
            </w:pPr>
          </w:p>
        </w:tc>
        <w:tc>
          <w:tcPr>
            <w:tcW w:w="1350" w:type="dxa"/>
            <w:shd w:val="clear" w:color="auto" w:fill="FFF2CC"/>
          </w:tcPr>
          <w:p w14:paraId="2EF9F7FD" w14:textId="0D98A979" w:rsidR="00150E9E" w:rsidRDefault="00150E9E">
            <w:pPr>
              <w:spacing w:after="240"/>
              <w:rPr>
                <w:rFonts w:ascii="Times New Roman" w:eastAsia="Times New Roman" w:hAnsi="Times New Roman" w:cs="Times New Roman"/>
                <w:sz w:val="20"/>
                <w:szCs w:val="20"/>
              </w:rPr>
            </w:pPr>
          </w:p>
        </w:tc>
        <w:tc>
          <w:tcPr>
            <w:tcW w:w="2070" w:type="dxa"/>
            <w:shd w:val="clear" w:color="auto" w:fill="FFF2CC"/>
          </w:tcPr>
          <w:p w14:paraId="46AB7229" w14:textId="4A7F381E" w:rsidR="00150E9E" w:rsidRDefault="00150E9E">
            <w:pPr>
              <w:spacing w:after="240"/>
              <w:rPr>
                <w:rFonts w:ascii="Times New Roman" w:eastAsia="Times New Roman" w:hAnsi="Times New Roman" w:cs="Times New Roman"/>
                <w:sz w:val="20"/>
                <w:szCs w:val="20"/>
              </w:rPr>
            </w:pPr>
          </w:p>
        </w:tc>
      </w:tr>
      <w:tr w:rsidR="00150E9E" w14:paraId="77628FB0" w14:textId="77777777">
        <w:tc>
          <w:tcPr>
            <w:tcW w:w="1003" w:type="dxa"/>
          </w:tcPr>
          <w:p w14:paraId="621953FE"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1509" w:type="dxa"/>
            <w:gridSpan w:val="2"/>
          </w:tcPr>
          <w:p w14:paraId="00B8134A" w14:textId="636CB209" w:rsidR="00150E9E" w:rsidRDefault="00150E9E">
            <w:pPr>
              <w:spacing w:after="240"/>
              <w:rPr>
                <w:rFonts w:ascii="Times New Roman" w:eastAsia="Times New Roman" w:hAnsi="Times New Roman" w:cs="Times New Roman"/>
                <w:sz w:val="20"/>
                <w:szCs w:val="20"/>
              </w:rPr>
            </w:pPr>
          </w:p>
        </w:tc>
        <w:tc>
          <w:tcPr>
            <w:tcW w:w="1201" w:type="dxa"/>
          </w:tcPr>
          <w:p w14:paraId="30C8B375" w14:textId="1215A522" w:rsidR="00150E9E" w:rsidRDefault="00150E9E">
            <w:pPr>
              <w:spacing w:after="240"/>
              <w:rPr>
                <w:rFonts w:ascii="Times New Roman" w:eastAsia="Times New Roman" w:hAnsi="Times New Roman" w:cs="Times New Roman"/>
                <w:sz w:val="20"/>
                <w:szCs w:val="20"/>
              </w:rPr>
            </w:pPr>
          </w:p>
        </w:tc>
        <w:tc>
          <w:tcPr>
            <w:tcW w:w="1322" w:type="dxa"/>
          </w:tcPr>
          <w:p w14:paraId="1E99647A" w14:textId="5E377F25" w:rsidR="00150E9E" w:rsidRDefault="00150E9E">
            <w:pPr>
              <w:spacing w:after="240"/>
              <w:rPr>
                <w:rFonts w:ascii="Times New Roman" w:eastAsia="Times New Roman" w:hAnsi="Times New Roman" w:cs="Times New Roman"/>
                <w:sz w:val="20"/>
                <w:szCs w:val="20"/>
              </w:rPr>
            </w:pPr>
          </w:p>
        </w:tc>
        <w:tc>
          <w:tcPr>
            <w:tcW w:w="1350" w:type="dxa"/>
          </w:tcPr>
          <w:p w14:paraId="7DB05A8B" w14:textId="070176CE" w:rsidR="00150E9E" w:rsidRDefault="00150E9E">
            <w:pPr>
              <w:spacing w:after="240"/>
              <w:rPr>
                <w:rFonts w:ascii="Times New Roman" w:eastAsia="Times New Roman" w:hAnsi="Times New Roman" w:cs="Times New Roman"/>
                <w:sz w:val="20"/>
                <w:szCs w:val="20"/>
              </w:rPr>
            </w:pPr>
          </w:p>
        </w:tc>
        <w:tc>
          <w:tcPr>
            <w:tcW w:w="1350" w:type="dxa"/>
          </w:tcPr>
          <w:p w14:paraId="718E9438" w14:textId="5E1C8404" w:rsidR="00150E9E" w:rsidRDefault="00150E9E">
            <w:pPr>
              <w:spacing w:after="240"/>
              <w:rPr>
                <w:rFonts w:ascii="Times New Roman" w:eastAsia="Times New Roman" w:hAnsi="Times New Roman" w:cs="Times New Roman"/>
                <w:sz w:val="20"/>
                <w:szCs w:val="20"/>
              </w:rPr>
            </w:pPr>
          </w:p>
        </w:tc>
        <w:tc>
          <w:tcPr>
            <w:tcW w:w="2070" w:type="dxa"/>
            <w:shd w:val="clear" w:color="auto" w:fill="FFF2CC"/>
          </w:tcPr>
          <w:p w14:paraId="05D92B66" w14:textId="44391D0E" w:rsidR="00150E9E" w:rsidRDefault="00150E9E">
            <w:pPr>
              <w:spacing w:after="240"/>
              <w:rPr>
                <w:rFonts w:ascii="Times New Roman" w:eastAsia="Times New Roman" w:hAnsi="Times New Roman" w:cs="Times New Roman"/>
                <w:sz w:val="20"/>
                <w:szCs w:val="20"/>
              </w:rPr>
            </w:pPr>
          </w:p>
        </w:tc>
      </w:tr>
      <w:tr w:rsidR="00150E9E" w14:paraId="2BBFAF26" w14:textId="77777777">
        <w:tc>
          <w:tcPr>
            <w:tcW w:w="1003" w:type="dxa"/>
            <w:tcBorders>
              <w:bottom w:val="single" w:sz="8" w:space="0" w:color="FFD965"/>
            </w:tcBorders>
          </w:tcPr>
          <w:p w14:paraId="1B2F5684"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1509" w:type="dxa"/>
            <w:gridSpan w:val="2"/>
            <w:tcBorders>
              <w:bottom w:val="single" w:sz="8" w:space="0" w:color="FFD965"/>
            </w:tcBorders>
          </w:tcPr>
          <w:p w14:paraId="0216B7EF" w14:textId="09588295" w:rsidR="00150E9E" w:rsidRDefault="00150E9E">
            <w:pPr>
              <w:spacing w:after="240"/>
              <w:rPr>
                <w:rFonts w:ascii="Times New Roman" w:eastAsia="Times New Roman" w:hAnsi="Times New Roman" w:cs="Times New Roman"/>
                <w:sz w:val="20"/>
                <w:szCs w:val="20"/>
              </w:rPr>
            </w:pPr>
          </w:p>
        </w:tc>
        <w:tc>
          <w:tcPr>
            <w:tcW w:w="1201" w:type="dxa"/>
            <w:tcBorders>
              <w:bottom w:val="single" w:sz="8" w:space="0" w:color="FFD965"/>
            </w:tcBorders>
          </w:tcPr>
          <w:p w14:paraId="3C9B0538" w14:textId="3644D2D2" w:rsidR="00150E9E" w:rsidRDefault="00150E9E">
            <w:pPr>
              <w:spacing w:after="240"/>
              <w:rPr>
                <w:rFonts w:ascii="Times New Roman" w:eastAsia="Times New Roman" w:hAnsi="Times New Roman" w:cs="Times New Roman"/>
                <w:sz w:val="20"/>
                <w:szCs w:val="20"/>
              </w:rPr>
            </w:pPr>
          </w:p>
        </w:tc>
        <w:tc>
          <w:tcPr>
            <w:tcW w:w="1322" w:type="dxa"/>
            <w:tcBorders>
              <w:bottom w:val="single" w:sz="8" w:space="0" w:color="FFD965"/>
            </w:tcBorders>
          </w:tcPr>
          <w:p w14:paraId="2224146F" w14:textId="361A9EA4" w:rsidR="00150E9E" w:rsidRDefault="00150E9E">
            <w:pPr>
              <w:spacing w:after="240"/>
              <w:rPr>
                <w:rFonts w:ascii="Times New Roman" w:eastAsia="Times New Roman" w:hAnsi="Times New Roman" w:cs="Times New Roman"/>
                <w:sz w:val="20"/>
                <w:szCs w:val="20"/>
              </w:rPr>
            </w:pPr>
          </w:p>
        </w:tc>
        <w:tc>
          <w:tcPr>
            <w:tcW w:w="1350" w:type="dxa"/>
            <w:tcBorders>
              <w:bottom w:val="single" w:sz="8" w:space="0" w:color="FFD965"/>
            </w:tcBorders>
          </w:tcPr>
          <w:p w14:paraId="5D309DB2" w14:textId="72A16E8A" w:rsidR="00150E9E" w:rsidRDefault="00150E9E">
            <w:pPr>
              <w:spacing w:after="240"/>
              <w:rPr>
                <w:rFonts w:ascii="Times New Roman" w:eastAsia="Times New Roman" w:hAnsi="Times New Roman" w:cs="Times New Roman"/>
                <w:sz w:val="20"/>
                <w:szCs w:val="20"/>
              </w:rPr>
            </w:pPr>
          </w:p>
        </w:tc>
        <w:tc>
          <w:tcPr>
            <w:tcW w:w="1350" w:type="dxa"/>
            <w:tcBorders>
              <w:bottom w:val="single" w:sz="8" w:space="0" w:color="FFD965"/>
            </w:tcBorders>
          </w:tcPr>
          <w:p w14:paraId="2D1E986C" w14:textId="2C2DC313" w:rsidR="00150E9E" w:rsidRDefault="00150E9E">
            <w:pPr>
              <w:spacing w:after="240"/>
              <w:rPr>
                <w:rFonts w:ascii="Times New Roman" w:eastAsia="Times New Roman" w:hAnsi="Times New Roman" w:cs="Times New Roman"/>
                <w:sz w:val="20"/>
                <w:szCs w:val="20"/>
              </w:rPr>
            </w:pPr>
          </w:p>
        </w:tc>
        <w:tc>
          <w:tcPr>
            <w:tcW w:w="2070" w:type="dxa"/>
            <w:tcBorders>
              <w:bottom w:val="single" w:sz="8" w:space="0" w:color="FFD965"/>
            </w:tcBorders>
            <w:shd w:val="clear" w:color="auto" w:fill="FFF2CC"/>
          </w:tcPr>
          <w:p w14:paraId="09CA2A26" w14:textId="5BF6F54F" w:rsidR="00150E9E" w:rsidRDefault="00150E9E">
            <w:pPr>
              <w:spacing w:after="240"/>
              <w:rPr>
                <w:rFonts w:ascii="Times New Roman" w:eastAsia="Times New Roman" w:hAnsi="Times New Roman" w:cs="Times New Roman"/>
                <w:sz w:val="20"/>
                <w:szCs w:val="20"/>
              </w:rPr>
            </w:pPr>
          </w:p>
        </w:tc>
      </w:tr>
      <w:tr w:rsidR="00150E9E" w14:paraId="03ECE92F" w14:textId="77777777">
        <w:tc>
          <w:tcPr>
            <w:tcW w:w="1003" w:type="dxa"/>
            <w:tcBorders>
              <w:bottom w:val="single" w:sz="18" w:space="0" w:color="FFD965"/>
            </w:tcBorders>
          </w:tcPr>
          <w:p w14:paraId="73AF193F" w14:textId="77777777" w:rsidR="00150E9E" w:rsidRDefault="00000000">
            <w:pPr>
              <w:spacing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c>
          <w:tcPr>
            <w:tcW w:w="1509" w:type="dxa"/>
            <w:gridSpan w:val="2"/>
            <w:tcBorders>
              <w:bottom w:val="single" w:sz="18" w:space="0" w:color="FFD965"/>
            </w:tcBorders>
          </w:tcPr>
          <w:p w14:paraId="1F687AED" w14:textId="0AD622CD" w:rsidR="00150E9E" w:rsidRDefault="00150E9E">
            <w:pPr>
              <w:spacing w:after="240"/>
              <w:rPr>
                <w:rFonts w:ascii="Times New Roman" w:eastAsia="Times New Roman" w:hAnsi="Times New Roman" w:cs="Times New Roman"/>
                <w:sz w:val="20"/>
                <w:szCs w:val="20"/>
              </w:rPr>
            </w:pPr>
          </w:p>
        </w:tc>
        <w:tc>
          <w:tcPr>
            <w:tcW w:w="1201" w:type="dxa"/>
            <w:tcBorders>
              <w:bottom w:val="single" w:sz="18" w:space="0" w:color="FFD965"/>
            </w:tcBorders>
          </w:tcPr>
          <w:p w14:paraId="0640A573" w14:textId="26439C76" w:rsidR="00150E9E" w:rsidRDefault="00150E9E">
            <w:pPr>
              <w:spacing w:after="240"/>
              <w:rPr>
                <w:rFonts w:ascii="Times New Roman" w:eastAsia="Times New Roman" w:hAnsi="Times New Roman" w:cs="Times New Roman"/>
                <w:sz w:val="20"/>
                <w:szCs w:val="20"/>
              </w:rPr>
            </w:pPr>
          </w:p>
        </w:tc>
        <w:tc>
          <w:tcPr>
            <w:tcW w:w="1322" w:type="dxa"/>
            <w:tcBorders>
              <w:bottom w:val="single" w:sz="18" w:space="0" w:color="FFD965"/>
            </w:tcBorders>
          </w:tcPr>
          <w:p w14:paraId="7917EDF6" w14:textId="40DE2BD0" w:rsidR="00150E9E" w:rsidRDefault="00150E9E">
            <w:pPr>
              <w:spacing w:after="240"/>
              <w:rPr>
                <w:rFonts w:ascii="Times New Roman" w:eastAsia="Times New Roman" w:hAnsi="Times New Roman" w:cs="Times New Roman"/>
                <w:sz w:val="20"/>
                <w:szCs w:val="20"/>
              </w:rPr>
            </w:pPr>
          </w:p>
        </w:tc>
        <w:tc>
          <w:tcPr>
            <w:tcW w:w="1350" w:type="dxa"/>
            <w:tcBorders>
              <w:bottom w:val="single" w:sz="18" w:space="0" w:color="FFD965"/>
            </w:tcBorders>
            <w:shd w:val="clear" w:color="auto" w:fill="FFF2CC"/>
          </w:tcPr>
          <w:p w14:paraId="2610F79F" w14:textId="156E3B1B" w:rsidR="00150E9E" w:rsidRDefault="00150E9E">
            <w:pPr>
              <w:spacing w:after="240"/>
              <w:rPr>
                <w:rFonts w:ascii="Times New Roman" w:eastAsia="Times New Roman" w:hAnsi="Times New Roman" w:cs="Times New Roman"/>
                <w:sz w:val="20"/>
                <w:szCs w:val="20"/>
              </w:rPr>
            </w:pPr>
          </w:p>
        </w:tc>
        <w:tc>
          <w:tcPr>
            <w:tcW w:w="1350" w:type="dxa"/>
            <w:tcBorders>
              <w:bottom w:val="single" w:sz="18" w:space="0" w:color="FFD965"/>
            </w:tcBorders>
            <w:shd w:val="clear" w:color="auto" w:fill="FFF2CC"/>
          </w:tcPr>
          <w:p w14:paraId="73F84EF9" w14:textId="557F7311" w:rsidR="00150E9E" w:rsidRDefault="00150E9E">
            <w:pPr>
              <w:spacing w:after="240"/>
              <w:rPr>
                <w:rFonts w:ascii="Times New Roman" w:eastAsia="Times New Roman" w:hAnsi="Times New Roman" w:cs="Times New Roman"/>
                <w:sz w:val="20"/>
                <w:szCs w:val="20"/>
              </w:rPr>
            </w:pPr>
          </w:p>
        </w:tc>
        <w:tc>
          <w:tcPr>
            <w:tcW w:w="2070" w:type="dxa"/>
            <w:tcBorders>
              <w:bottom w:val="single" w:sz="18" w:space="0" w:color="FFD965"/>
            </w:tcBorders>
          </w:tcPr>
          <w:p w14:paraId="17FA99D9" w14:textId="23963BC3" w:rsidR="00150E9E" w:rsidRDefault="00150E9E">
            <w:pPr>
              <w:spacing w:after="240"/>
              <w:rPr>
                <w:rFonts w:ascii="Times New Roman" w:eastAsia="Times New Roman" w:hAnsi="Times New Roman" w:cs="Times New Roman"/>
                <w:sz w:val="20"/>
                <w:szCs w:val="20"/>
              </w:rPr>
            </w:pPr>
          </w:p>
        </w:tc>
      </w:tr>
    </w:tbl>
    <w:p w14:paraId="32BA7143" w14:textId="77777777" w:rsidR="00150E9E" w:rsidRDefault="00150E9E">
      <w:pPr>
        <w:spacing w:after="240" w:line="240" w:lineRule="auto"/>
        <w:rPr>
          <w:rFonts w:ascii="Times New Roman" w:eastAsia="Times New Roman" w:hAnsi="Times New Roman" w:cs="Times New Roman"/>
          <w:sz w:val="24"/>
          <w:szCs w:val="24"/>
        </w:rPr>
      </w:pPr>
    </w:p>
    <w:p w14:paraId="3597F23B" w14:textId="77777777" w:rsidR="00150E9E" w:rsidRDefault="00000000">
      <w:pPr>
        <w:spacing w:after="24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Table 3: Appendix Information</w:t>
      </w:r>
    </w:p>
    <w:p w14:paraId="21348193" w14:textId="77777777" w:rsidR="00150E9E" w:rsidRDefault="00000000">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b/>
          <w:sz w:val="24"/>
          <w:szCs w:val="24"/>
        </w:rPr>
        <w:t>Appendix Information</w:t>
      </w:r>
      <w:r>
        <w:rPr>
          <w:rFonts w:ascii="Times New Roman" w:eastAsia="Times New Roman" w:hAnsi="Times New Roman" w:cs="Times New Roman"/>
          <w:sz w:val="24"/>
          <w:szCs w:val="24"/>
        </w:rPr>
        <w:t>” means the information which must be provided for the selected modules as set out in the Appendix of the Approved EU SCCs (other than the Parties), and which for this Addendum is set out in:</w:t>
      </w:r>
    </w:p>
    <w:tbl>
      <w:tblPr>
        <w:tblStyle w:val="a1"/>
        <w:tblW w:w="9350" w:type="dxa"/>
        <w:tblBorders>
          <w:top w:val="nil"/>
          <w:left w:val="nil"/>
          <w:bottom w:val="single" w:sz="18" w:space="0" w:color="FFD965"/>
          <w:right w:val="nil"/>
          <w:insideH w:val="single" w:sz="6" w:space="0" w:color="FFD965"/>
          <w:insideV w:val="single" w:sz="6" w:space="0" w:color="FFD965"/>
        </w:tblBorders>
        <w:tblLayout w:type="fixed"/>
        <w:tblLook w:val="0400" w:firstRow="0" w:lastRow="0" w:firstColumn="0" w:lastColumn="0" w:noHBand="0" w:noVBand="1"/>
      </w:tblPr>
      <w:tblGrid>
        <w:gridCol w:w="9350"/>
      </w:tblGrid>
      <w:tr w:rsidR="00150E9E" w14:paraId="35A74457" w14:textId="77777777">
        <w:tc>
          <w:tcPr>
            <w:tcW w:w="9350" w:type="dxa"/>
          </w:tcPr>
          <w:p w14:paraId="765BAA75" w14:textId="77777777" w:rsidR="00150E9E" w:rsidRDefault="00000000">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Annex 1A: List of Parties: Schedule A(A) to the DPA.</w:t>
            </w:r>
          </w:p>
        </w:tc>
      </w:tr>
      <w:tr w:rsidR="00150E9E" w14:paraId="21056D06" w14:textId="77777777">
        <w:tc>
          <w:tcPr>
            <w:tcW w:w="9350" w:type="dxa"/>
          </w:tcPr>
          <w:p w14:paraId="6CF57E91" w14:textId="77777777" w:rsidR="00150E9E" w:rsidRDefault="00000000">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Annex 1B: Description of Transfer: Schedule A(B) to the DPA.</w:t>
            </w:r>
          </w:p>
        </w:tc>
      </w:tr>
      <w:tr w:rsidR="00150E9E" w14:paraId="394DFD40" w14:textId="77777777">
        <w:tc>
          <w:tcPr>
            <w:tcW w:w="9350" w:type="dxa"/>
          </w:tcPr>
          <w:p w14:paraId="68344BD4" w14:textId="77777777" w:rsidR="00150E9E" w:rsidRDefault="00000000">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Annex II: Technical and </w:t>
            </w:r>
            <w:proofErr w:type="spellStart"/>
            <w:r>
              <w:rPr>
                <w:rFonts w:ascii="Times New Roman" w:eastAsia="Times New Roman" w:hAnsi="Times New Roman" w:cs="Times New Roman"/>
                <w:sz w:val="24"/>
                <w:szCs w:val="24"/>
              </w:rPr>
              <w:t>organisational</w:t>
            </w:r>
            <w:proofErr w:type="spellEnd"/>
            <w:r>
              <w:rPr>
                <w:rFonts w:ascii="Times New Roman" w:eastAsia="Times New Roman" w:hAnsi="Times New Roman" w:cs="Times New Roman"/>
                <w:sz w:val="24"/>
                <w:szCs w:val="24"/>
              </w:rPr>
              <w:t xml:space="preserve"> measures including technical and </w:t>
            </w:r>
            <w:proofErr w:type="spellStart"/>
            <w:r>
              <w:rPr>
                <w:rFonts w:ascii="Times New Roman" w:eastAsia="Times New Roman" w:hAnsi="Times New Roman" w:cs="Times New Roman"/>
                <w:sz w:val="24"/>
                <w:szCs w:val="24"/>
              </w:rPr>
              <w:t>organisational</w:t>
            </w:r>
            <w:proofErr w:type="spellEnd"/>
            <w:r>
              <w:rPr>
                <w:rFonts w:ascii="Times New Roman" w:eastAsia="Times New Roman" w:hAnsi="Times New Roman" w:cs="Times New Roman"/>
                <w:sz w:val="24"/>
                <w:szCs w:val="24"/>
              </w:rPr>
              <w:t xml:space="preserve"> measures to ensure the security of the data: Schedule B to the DPA.</w:t>
            </w:r>
          </w:p>
        </w:tc>
      </w:tr>
      <w:tr w:rsidR="00150E9E" w14:paraId="1B66BD03" w14:textId="77777777">
        <w:tc>
          <w:tcPr>
            <w:tcW w:w="9350" w:type="dxa"/>
          </w:tcPr>
          <w:p w14:paraId="7FF9560A" w14:textId="77777777" w:rsidR="00150E9E" w:rsidRDefault="00000000">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Annex III: List of Sub processors (Modules 2 and 3 only): Schedule C to the DPA.</w:t>
            </w:r>
          </w:p>
        </w:tc>
      </w:tr>
    </w:tbl>
    <w:p w14:paraId="4F6DEDD6" w14:textId="77777777" w:rsidR="00150E9E" w:rsidRDefault="00150E9E">
      <w:pPr>
        <w:spacing w:after="240" w:line="240" w:lineRule="auto"/>
        <w:rPr>
          <w:rFonts w:ascii="Times New Roman" w:eastAsia="Times New Roman" w:hAnsi="Times New Roman" w:cs="Times New Roman"/>
          <w:sz w:val="24"/>
          <w:szCs w:val="24"/>
        </w:rPr>
      </w:pPr>
    </w:p>
    <w:p w14:paraId="474A0B1A" w14:textId="77777777" w:rsidR="00150E9E" w:rsidRDefault="00000000">
      <w:pPr>
        <w:spacing w:after="24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Table 4: Ending this Addendum when the Approved Addendum Changes</w:t>
      </w:r>
    </w:p>
    <w:tbl>
      <w:tblPr>
        <w:tblStyle w:val="a2"/>
        <w:tblW w:w="9344" w:type="dxa"/>
        <w:tblBorders>
          <w:top w:val="single" w:sz="6" w:space="0" w:color="FFD965"/>
          <w:left w:val="single" w:sz="6" w:space="0" w:color="FFD965"/>
          <w:bottom w:val="single" w:sz="18" w:space="0" w:color="FFD965"/>
          <w:right w:val="single" w:sz="6" w:space="0" w:color="FFD965"/>
          <w:insideH w:val="single" w:sz="6" w:space="0" w:color="FFD965"/>
          <w:insideV w:val="single" w:sz="6" w:space="0" w:color="FFD965"/>
        </w:tblBorders>
        <w:tblLayout w:type="fixed"/>
        <w:tblLook w:val="0400" w:firstRow="0" w:lastRow="0" w:firstColumn="0" w:lastColumn="0" w:noHBand="0" w:noVBand="1"/>
      </w:tblPr>
      <w:tblGrid>
        <w:gridCol w:w="1795"/>
        <w:gridCol w:w="7549"/>
      </w:tblGrid>
      <w:tr w:rsidR="00150E9E" w14:paraId="374297FA" w14:textId="77777777">
        <w:tc>
          <w:tcPr>
            <w:tcW w:w="1795" w:type="dxa"/>
            <w:shd w:val="clear" w:color="auto" w:fill="FFF2CC"/>
          </w:tcPr>
          <w:p w14:paraId="7E98AE8C" w14:textId="77777777" w:rsidR="00150E9E" w:rsidRDefault="00000000">
            <w:pPr>
              <w:spacing w:after="240"/>
              <w:rPr>
                <w:rFonts w:ascii="Times New Roman" w:eastAsia="Times New Roman" w:hAnsi="Times New Roman" w:cs="Times New Roman"/>
                <w:b/>
                <w:sz w:val="24"/>
                <w:szCs w:val="24"/>
              </w:rPr>
            </w:pPr>
            <w:r>
              <w:rPr>
                <w:rFonts w:ascii="Times New Roman" w:eastAsia="Times New Roman" w:hAnsi="Times New Roman" w:cs="Times New Roman"/>
                <w:b/>
                <w:sz w:val="24"/>
                <w:szCs w:val="24"/>
              </w:rPr>
              <w:t>Ending this Addendum when the Approved Addendum changes</w:t>
            </w:r>
          </w:p>
        </w:tc>
        <w:tc>
          <w:tcPr>
            <w:tcW w:w="7549" w:type="dxa"/>
          </w:tcPr>
          <w:p w14:paraId="426D235A" w14:textId="77777777" w:rsidR="00150E9E" w:rsidRDefault="00000000">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Which Parties may end this Addendum as set out in Section 19: </w:t>
            </w:r>
          </w:p>
          <w:p w14:paraId="6FF1FC26" w14:textId="77777777" w:rsidR="00150E9E" w:rsidRDefault="00000000">
            <w:pPr>
              <w:ind w:left="504"/>
              <w:rPr>
                <w:rFonts w:ascii="Times New Roman" w:eastAsia="Times New Roman" w:hAnsi="Times New Roman" w:cs="Times New Roman"/>
                <w:sz w:val="24"/>
                <w:szCs w:val="24"/>
              </w:rPr>
            </w:pPr>
            <w:proofErr w:type="gramStart"/>
            <w:r>
              <w:rPr>
                <w:rFonts w:ascii="MS Gothic" w:eastAsia="MS Gothic" w:hAnsi="MS Gothic" w:cs="MS Gothic"/>
                <w:sz w:val="24"/>
                <w:szCs w:val="24"/>
              </w:rPr>
              <w:t>☒</w:t>
            </w:r>
            <w:r>
              <w:rPr>
                <w:rFonts w:ascii="Times New Roman" w:eastAsia="Times New Roman" w:hAnsi="Times New Roman" w:cs="Times New Roman"/>
                <w:sz w:val="24"/>
                <w:szCs w:val="24"/>
              </w:rPr>
              <w:t xml:space="preserve">  Importer</w:t>
            </w:r>
            <w:proofErr w:type="gramEnd"/>
          </w:p>
          <w:p w14:paraId="31633072" w14:textId="77777777" w:rsidR="00150E9E" w:rsidRDefault="00000000">
            <w:pPr>
              <w:ind w:left="504"/>
              <w:rPr>
                <w:rFonts w:ascii="Times New Roman" w:eastAsia="Times New Roman" w:hAnsi="Times New Roman" w:cs="Times New Roman"/>
                <w:sz w:val="24"/>
                <w:szCs w:val="24"/>
              </w:rPr>
            </w:pPr>
            <w:proofErr w:type="gramStart"/>
            <w:r>
              <w:rPr>
                <w:rFonts w:ascii="MS Gothic" w:eastAsia="MS Gothic" w:hAnsi="MS Gothic" w:cs="MS Gothic"/>
                <w:sz w:val="24"/>
                <w:szCs w:val="24"/>
              </w:rPr>
              <w:t>☒</w:t>
            </w:r>
            <w:r>
              <w:rPr>
                <w:rFonts w:ascii="Times New Roman" w:eastAsia="Times New Roman" w:hAnsi="Times New Roman" w:cs="Times New Roman"/>
                <w:sz w:val="24"/>
                <w:szCs w:val="24"/>
              </w:rPr>
              <w:t xml:space="preserve">  Exporter</w:t>
            </w:r>
            <w:proofErr w:type="gramEnd"/>
            <w:r>
              <w:rPr>
                <w:rFonts w:ascii="Times New Roman" w:eastAsia="Times New Roman" w:hAnsi="Times New Roman" w:cs="Times New Roman"/>
                <w:sz w:val="24"/>
                <w:szCs w:val="24"/>
              </w:rPr>
              <w:t xml:space="preserve"> </w:t>
            </w:r>
          </w:p>
          <w:p w14:paraId="45465BF5" w14:textId="77777777" w:rsidR="00150E9E" w:rsidRDefault="00000000">
            <w:pPr>
              <w:spacing w:after="240"/>
              <w:ind w:left="504"/>
              <w:rPr>
                <w:rFonts w:ascii="Times New Roman" w:eastAsia="Times New Roman" w:hAnsi="Times New Roman" w:cs="Times New Roman"/>
                <w:sz w:val="24"/>
                <w:szCs w:val="24"/>
              </w:rPr>
            </w:pPr>
            <w:proofErr w:type="gramStart"/>
            <w:r>
              <w:rPr>
                <w:rFonts w:ascii="Arial Unicode MS" w:eastAsia="Arial Unicode MS" w:hAnsi="Arial Unicode MS" w:cs="Arial Unicode MS"/>
                <w:sz w:val="24"/>
                <w:szCs w:val="24"/>
              </w:rPr>
              <w:t>☐</w:t>
            </w:r>
            <w:r>
              <w:rPr>
                <w:rFonts w:ascii="Times New Roman" w:eastAsia="Times New Roman" w:hAnsi="Times New Roman" w:cs="Times New Roman"/>
                <w:sz w:val="24"/>
                <w:szCs w:val="24"/>
              </w:rPr>
              <w:t xml:space="preserve">  neither</w:t>
            </w:r>
            <w:proofErr w:type="gramEnd"/>
            <w:r>
              <w:rPr>
                <w:rFonts w:ascii="Times New Roman" w:eastAsia="Times New Roman" w:hAnsi="Times New Roman" w:cs="Times New Roman"/>
                <w:sz w:val="24"/>
                <w:szCs w:val="24"/>
              </w:rPr>
              <w:t xml:space="preserve"> Party</w:t>
            </w:r>
          </w:p>
        </w:tc>
      </w:tr>
    </w:tbl>
    <w:p w14:paraId="10CD20B9" w14:textId="77777777" w:rsidR="00150E9E" w:rsidRDefault="00150E9E">
      <w:pPr>
        <w:spacing w:after="240" w:line="240" w:lineRule="auto"/>
        <w:rPr>
          <w:rFonts w:ascii="Times New Roman" w:eastAsia="Times New Roman" w:hAnsi="Times New Roman" w:cs="Times New Roman"/>
          <w:sz w:val="24"/>
          <w:szCs w:val="24"/>
        </w:rPr>
      </w:pPr>
    </w:p>
    <w:p w14:paraId="286D16F3" w14:textId="77777777" w:rsidR="00150E9E" w:rsidRDefault="00000000">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Part 2: Mandatory Clauses</w:t>
      </w:r>
    </w:p>
    <w:p w14:paraId="7C163586" w14:textId="77777777" w:rsidR="00150E9E" w:rsidRDefault="00000000">
      <w:pPr>
        <w:spacing w:after="240" w:line="240" w:lineRule="auto"/>
        <w:rPr>
          <w:rFonts w:ascii="Times New Roman" w:eastAsia="Times New Roman" w:hAnsi="Times New Roman" w:cs="Times New Roman"/>
          <w:b/>
          <w:sz w:val="24"/>
          <w:szCs w:val="24"/>
        </w:rPr>
      </w:pPr>
      <w:proofErr w:type="gramStart"/>
      <w:r>
        <w:rPr>
          <w:rFonts w:ascii="Times New Roman" w:eastAsia="Times New Roman" w:hAnsi="Times New Roman" w:cs="Times New Roman"/>
          <w:b/>
          <w:sz w:val="24"/>
          <w:szCs w:val="24"/>
        </w:rPr>
        <w:t>Entering into</w:t>
      </w:r>
      <w:proofErr w:type="gramEnd"/>
      <w:r>
        <w:rPr>
          <w:rFonts w:ascii="Times New Roman" w:eastAsia="Times New Roman" w:hAnsi="Times New Roman" w:cs="Times New Roman"/>
          <w:b/>
          <w:sz w:val="24"/>
          <w:szCs w:val="24"/>
        </w:rPr>
        <w:t xml:space="preserve"> this Addendum</w:t>
      </w:r>
    </w:p>
    <w:p w14:paraId="7B10604B"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Each Party agrees to be bound by the terms and conditions set out in this Addendum, in exchange for the other Party also agreeing to be bound by this Addendum.</w:t>
      </w:r>
    </w:p>
    <w:p w14:paraId="3E4B1EF3"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 xml:space="preserve">Although Annex 1A and Clause 7 of the Approved EU SCCs require signature by the </w:t>
      </w:r>
      <w:proofErr w:type="gramStart"/>
      <w:r>
        <w:rPr>
          <w:rFonts w:ascii="Times New Roman" w:eastAsia="Times New Roman" w:hAnsi="Times New Roman" w:cs="Times New Roman"/>
          <w:sz w:val="24"/>
          <w:szCs w:val="24"/>
        </w:rPr>
        <w:t>Parties,</w:t>
      </w:r>
      <w:proofErr w:type="gramEnd"/>
      <w:r>
        <w:rPr>
          <w:rFonts w:ascii="Times New Roman" w:eastAsia="Times New Roman" w:hAnsi="Times New Roman" w:cs="Times New Roman"/>
          <w:sz w:val="24"/>
          <w:szCs w:val="24"/>
        </w:rPr>
        <w:t xml:space="preserve"> for the purpose of making Restricted Transfers, the Parties may </w:t>
      </w:r>
      <w:proofErr w:type="gramStart"/>
      <w:r>
        <w:rPr>
          <w:rFonts w:ascii="Times New Roman" w:eastAsia="Times New Roman" w:hAnsi="Times New Roman" w:cs="Times New Roman"/>
          <w:sz w:val="24"/>
          <w:szCs w:val="24"/>
        </w:rPr>
        <w:t>enter into</w:t>
      </w:r>
      <w:proofErr w:type="gramEnd"/>
      <w:r>
        <w:rPr>
          <w:rFonts w:ascii="Times New Roman" w:eastAsia="Times New Roman" w:hAnsi="Times New Roman" w:cs="Times New Roman"/>
          <w:sz w:val="24"/>
          <w:szCs w:val="24"/>
        </w:rPr>
        <w:t xml:space="preserve"> this Addendum in any way that makes them legally binding on the Parties and allows data subjects to enforce their rights as set out in this Addendum. </w:t>
      </w:r>
      <w:proofErr w:type="gramStart"/>
      <w:r>
        <w:rPr>
          <w:rFonts w:ascii="Times New Roman" w:eastAsia="Times New Roman" w:hAnsi="Times New Roman" w:cs="Times New Roman"/>
          <w:sz w:val="24"/>
          <w:szCs w:val="24"/>
        </w:rPr>
        <w:t>Entering into</w:t>
      </w:r>
      <w:proofErr w:type="gramEnd"/>
      <w:r>
        <w:rPr>
          <w:rFonts w:ascii="Times New Roman" w:eastAsia="Times New Roman" w:hAnsi="Times New Roman" w:cs="Times New Roman"/>
          <w:sz w:val="24"/>
          <w:szCs w:val="24"/>
        </w:rPr>
        <w:t xml:space="preserve"> this Addendum will have the same effect as signing the Approved EU SCCs and any part of the Approved EU SCCs.</w:t>
      </w:r>
    </w:p>
    <w:p w14:paraId="62EF13F0" w14:textId="77777777" w:rsidR="00150E9E" w:rsidRDefault="00000000">
      <w:pPr>
        <w:spacing w:after="24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Interpretation of this Addendum</w:t>
      </w:r>
    </w:p>
    <w:p w14:paraId="08DCB8DB"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Where this Addendum uses terms that are defined in the Approved EU SCCs those terms shall have the same meaning as in the Approved EU SCCs. In addition, the following terms have the following meanings:</w:t>
      </w:r>
    </w:p>
    <w:tbl>
      <w:tblPr>
        <w:tblStyle w:val="a3"/>
        <w:tblW w:w="9344" w:type="dxa"/>
        <w:tblBorders>
          <w:top w:val="single" w:sz="6" w:space="0" w:color="FFD965"/>
          <w:left w:val="single" w:sz="6" w:space="0" w:color="FFD965"/>
          <w:bottom w:val="single" w:sz="18" w:space="0" w:color="FFE599"/>
          <w:right w:val="single" w:sz="6" w:space="0" w:color="FFD965"/>
          <w:insideH w:val="single" w:sz="6" w:space="0" w:color="FFD965"/>
          <w:insideV w:val="single" w:sz="6" w:space="0" w:color="FFD965"/>
        </w:tblBorders>
        <w:tblLayout w:type="fixed"/>
        <w:tblLook w:val="0400" w:firstRow="0" w:lastRow="0" w:firstColumn="0" w:lastColumn="0" w:noHBand="0" w:noVBand="1"/>
      </w:tblPr>
      <w:tblGrid>
        <w:gridCol w:w="2604"/>
        <w:gridCol w:w="6740"/>
      </w:tblGrid>
      <w:tr w:rsidR="00150E9E" w14:paraId="184EBDF8" w14:textId="77777777">
        <w:tc>
          <w:tcPr>
            <w:tcW w:w="2604" w:type="dxa"/>
            <w:shd w:val="clear" w:color="auto" w:fill="FFF2CC"/>
          </w:tcPr>
          <w:p w14:paraId="16AC54CC" w14:textId="77777777" w:rsidR="00150E9E" w:rsidRDefault="00000000">
            <w:pPr>
              <w:spacing w:before="240" w:after="1080"/>
              <w:rPr>
                <w:rFonts w:ascii="Times New Roman" w:eastAsia="Times New Roman" w:hAnsi="Times New Roman" w:cs="Times New Roman"/>
                <w:sz w:val="20"/>
                <w:szCs w:val="20"/>
              </w:rPr>
            </w:pPr>
            <w:r>
              <w:rPr>
                <w:rFonts w:ascii="Times New Roman" w:eastAsia="Times New Roman" w:hAnsi="Times New Roman" w:cs="Times New Roman"/>
                <w:sz w:val="20"/>
                <w:szCs w:val="20"/>
              </w:rPr>
              <w:t>Addendum</w:t>
            </w:r>
          </w:p>
        </w:tc>
        <w:tc>
          <w:tcPr>
            <w:tcW w:w="6740" w:type="dxa"/>
          </w:tcPr>
          <w:p w14:paraId="6C3DC22A" w14:textId="77777777" w:rsidR="00150E9E" w:rsidRDefault="00000000">
            <w:pPr>
              <w:spacing w:before="240"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This International Data Transfer Addendum which is made up of this Addendum incorporating the Addendum EU SCCs.</w:t>
            </w:r>
          </w:p>
        </w:tc>
      </w:tr>
      <w:tr w:rsidR="00150E9E" w14:paraId="46B45C85" w14:textId="77777777">
        <w:tc>
          <w:tcPr>
            <w:tcW w:w="2604" w:type="dxa"/>
            <w:shd w:val="clear" w:color="auto" w:fill="FFF2CC"/>
          </w:tcPr>
          <w:p w14:paraId="1FDA9E8D" w14:textId="77777777" w:rsidR="00150E9E" w:rsidRDefault="00000000">
            <w:pPr>
              <w:spacing w:before="240" w:after="960"/>
              <w:rPr>
                <w:rFonts w:ascii="Times New Roman" w:eastAsia="Times New Roman" w:hAnsi="Times New Roman" w:cs="Times New Roman"/>
                <w:sz w:val="20"/>
                <w:szCs w:val="20"/>
              </w:rPr>
            </w:pPr>
            <w:r>
              <w:rPr>
                <w:rFonts w:ascii="Times New Roman" w:eastAsia="Times New Roman" w:hAnsi="Times New Roman" w:cs="Times New Roman"/>
                <w:sz w:val="20"/>
                <w:szCs w:val="20"/>
              </w:rPr>
              <w:t>Addendum EU SCCs</w:t>
            </w:r>
          </w:p>
        </w:tc>
        <w:tc>
          <w:tcPr>
            <w:tcW w:w="6740" w:type="dxa"/>
          </w:tcPr>
          <w:p w14:paraId="21013754" w14:textId="77777777" w:rsidR="00150E9E" w:rsidRDefault="00000000">
            <w:pPr>
              <w:spacing w:before="240"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The version(s) of the Approved EU SCCs which this Addendum is appended to, as set out in Table 2, </w:t>
            </w:r>
            <w:proofErr w:type="gramStart"/>
            <w:r>
              <w:rPr>
                <w:rFonts w:ascii="Times New Roman" w:eastAsia="Times New Roman" w:hAnsi="Times New Roman" w:cs="Times New Roman"/>
                <w:sz w:val="20"/>
                <w:szCs w:val="20"/>
              </w:rPr>
              <w:t>including</w:t>
            </w:r>
            <w:proofErr w:type="gramEnd"/>
            <w:r>
              <w:rPr>
                <w:rFonts w:ascii="Times New Roman" w:eastAsia="Times New Roman" w:hAnsi="Times New Roman" w:cs="Times New Roman"/>
                <w:sz w:val="20"/>
                <w:szCs w:val="20"/>
              </w:rPr>
              <w:t xml:space="preserve"> the Appendix Information.</w:t>
            </w:r>
          </w:p>
        </w:tc>
      </w:tr>
      <w:tr w:rsidR="00150E9E" w14:paraId="5E8D643A" w14:textId="77777777">
        <w:tc>
          <w:tcPr>
            <w:tcW w:w="2604" w:type="dxa"/>
            <w:shd w:val="clear" w:color="auto" w:fill="FFF2CC"/>
          </w:tcPr>
          <w:p w14:paraId="104E2D57" w14:textId="77777777" w:rsidR="00150E9E" w:rsidRDefault="00000000">
            <w:pPr>
              <w:spacing w:before="240" w:after="360"/>
              <w:rPr>
                <w:rFonts w:ascii="Times New Roman" w:eastAsia="Times New Roman" w:hAnsi="Times New Roman" w:cs="Times New Roman"/>
                <w:sz w:val="20"/>
                <w:szCs w:val="20"/>
              </w:rPr>
            </w:pPr>
            <w:r>
              <w:rPr>
                <w:rFonts w:ascii="Times New Roman" w:eastAsia="Times New Roman" w:hAnsi="Times New Roman" w:cs="Times New Roman"/>
                <w:sz w:val="20"/>
                <w:szCs w:val="20"/>
              </w:rPr>
              <w:t>Appendix Information</w:t>
            </w:r>
          </w:p>
        </w:tc>
        <w:tc>
          <w:tcPr>
            <w:tcW w:w="6740" w:type="dxa"/>
          </w:tcPr>
          <w:p w14:paraId="222E1FF9" w14:textId="77777777" w:rsidR="00150E9E" w:rsidRDefault="00000000">
            <w:pPr>
              <w:spacing w:before="240"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As set out in Table 3.</w:t>
            </w:r>
          </w:p>
        </w:tc>
      </w:tr>
      <w:tr w:rsidR="00150E9E" w14:paraId="42E5D58D" w14:textId="77777777">
        <w:tc>
          <w:tcPr>
            <w:tcW w:w="2604" w:type="dxa"/>
            <w:shd w:val="clear" w:color="auto" w:fill="FFF2CC"/>
          </w:tcPr>
          <w:p w14:paraId="714AFDED" w14:textId="77777777" w:rsidR="00150E9E" w:rsidRDefault="00000000">
            <w:pPr>
              <w:spacing w:before="240" w:after="960"/>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Appropriate Safeguards</w:t>
            </w:r>
          </w:p>
        </w:tc>
        <w:tc>
          <w:tcPr>
            <w:tcW w:w="6740" w:type="dxa"/>
          </w:tcPr>
          <w:p w14:paraId="64FC6CC6" w14:textId="77777777" w:rsidR="00150E9E" w:rsidRDefault="00000000">
            <w:pPr>
              <w:spacing w:before="240"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The standard of protection over the personal data and of data subjects’ rights, which is required by UK Data Protection Laws when you are making a Restricted Transfer relying on standard data protection clauses under Article 46(2)(d) UK GDPR.</w:t>
            </w:r>
          </w:p>
        </w:tc>
      </w:tr>
      <w:tr w:rsidR="00150E9E" w14:paraId="7C1DA1FA" w14:textId="77777777">
        <w:tc>
          <w:tcPr>
            <w:tcW w:w="2604" w:type="dxa"/>
            <w:shd w:val="clear" w:color="auto" w:fill="FFF2CC"/>
          </w:tcPr>
          <w:p w14:paraId="063E521A" w14:textId="77777777" w:rsidR="00150E9E" w:rsidRDefault="00000000">
            <w:pPr>
              <w:spacing w:before="240" w:after="1200"/>
              <w:rPr>
                <w:rFonts w:ascii="Times New Roman" w:eastAsia="Times New Roman" w:hAnsi="Times New Roman" w:cs="Times New Roman"/>
                <w:sz w:val="20"/>
                <w:szCs w:val="20"/>
              </w:rPr>
            </w:pPr>
            <w:r>
              <w:rPr>
                <w:rFonts w:ascii="Times New Roman" w:eastAsia="Times New Roman" w:hAnsi="Times New Roman" w:cs="Times New Roman"/>
                <w:sz w:val="20"/>
                <w:szCs w:val="20"/>
              </w:rPr>
              <w:t>Approved Addendum</w:t>
            </w:r>
          </w:p>
        </w:tc>
        <w:tc>
          <w:tcPr>
            <w:tcW w:w="6740" w:type="dxa"/>
          </w:tcPr>
          <w:p w14:paraId="1FE054B0" w14:textId="77777777" w:rsidR="00150E9E" w:rsidRDefault="00000000">
            <w:pPr>
              <w:spacing w:before="240"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The template Addendum issued by the ICO and laid before Parliament in accordance with s119A of the Data Protection Act 2018 on 2 February 2022, as it is revised under Section 18.</w:t>
            </w:r>
          </w:p>
        </w:tc>
      </w:tr>
      <w:tr w:rsidR="00150E9E" w14:paraId="76750D21" w14:textId="77777777">
        <w:tc>
          <w:tcPr>
            <w:tcW w:w="2604" w:type="dxa"/>
            <w:shd w:val="clear" w:color="auto" w:fill="FFF2CC"/>
          </w:tcPr>
          <w:p w14:paraId="17DBDCF3" w14:textId="77777777" w:rsidR="00150E9E" w:rsidRDefault="00000000">
            <w:pPr>
              <w:spacing w:before="240" w:after="960"/>
              <w:rPr>
                <w:rFonts w:ascii="Times New Roman" w:eastAsia="Times New Roman" w:hAnsi="Times New Roman" w:cs="Times New Roman"/>
                <w:sz w:val="20"/>
                <w:szCs w:val="20"/>
              </w:rPr>
            </w:pPr>
            <w:r>
              <w:rPr>
                <w:rFonts w:ascii="Times New Roman" w:eastAsia="Times New Roman" w:hAnsi="Times New Roman" w:cs="Times New Roman"/>
                <w:sz w:val="20"/>
                <w:szCs w:val="20"/>
              </w:rPr>
              <w:t>Approved EU SCCs</w:t>
            </w:r>
          </w:p>
        </w:tc>
        <w:tc>
          <w:tcPr>
            <w:tcW w:w="6740" w:type="dxa"/>
          </w:tcPr>
          <w:p w14:paraId="68B803C2" w14:textId="77777777" w:rsidR="00150E9E" w:rsidRDefault="00000000">
            <w:pPr>
              <w:spacing w:before="240"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The Standard Contractual Clauses set out in the Annex of Commission Implementing Decision (EU) 2021/914 of 4 June 2021.</w:t>
            </w:r>
          </w:p>
        </w:tc>
      </w:tr>
      <w:tr w:rsidR="00150E9E" w14:paraId="48E07E9D" w14:textId="77777777">
        <w:tc>
          <w:tcPr>
            <w:tcW w:w="2604" w:type="dxa"/>
            <w:shd w:val="clear" w:color="auto" w:fill="FFF2CC"/>
          </w:tcPr>
          <w:p w14:paraId="03859B29" w14:textId="77777777" w:rsidR="00150E9E" w:rsidRDefault="00000000">
            <w:pPr>
              <w:spacing w:before="240" w:after="360"/>
              <w:rPr>
                <w:rFonts w:ascii="Times New Roman" w:eastAsia="Times New Roman" w:hAnsi="Times New Roman" w:cs="Times New Roman"/>
                <w:sz w:val="20"/>
                <w:szCs w:val="20"/>
              </w:rPr>
            </w:pPr>
            <w:r>
              <w:rPr>
                <w:rFonts w:ascii="Times New Roman" w:eastAsia="Times New Roman" w:hAnsi="Times New Roman" w:cs="Times New Roman"/>
                <w:sz w:val="20"/>
                <w:szCs w:val="20"/>
              </w:rPr>
              <w:t>ICO</w:t>
            </w:r>
          </w:p>
        </w:tc>
        <w:tc>
          <w:tcPr>
            <w:tcW w:w="6740" w:type="dxa"/>
          </w:tcPr>
          <w:p w14:paraId="379E2439" w14:textId="77777777" w:rsidR="00150E9E" w:rsidRDefault="00000000">
            <w:pPr>
              <w:spacing w:before="240"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The Information Commissioner.</w:t>
            </w:r>
          </w:p>
        </w:tc>
      </w:tr>
      <w:tr w:rsidR="00150E9E" w14:paraId="174656C3" w14:textId="77777777">
        <w:tc>
          <w:tcPr>
            <w:tcW w:w="2604" w:type="dxa"/>
            <w:shd w:val="clear" w:color="auto" w:fill="FFF2CC"/>
          </w:tcPr>
          <w:p w14:paraId="67663A0E" w14:textId="77777777" w:rsidR="00150E9E" w:rsidRDefault="00000000">
            <w:pPr>
              <w:spacing w:before="240" w:after="840"/>
              <w:rPr>
                <w:rFonts w:ascii="Times New Roman" w:eastAsia="Times New Roman" w:hAnsi="Times New Roman" w:cs="Times New Roman"/>
                <w:sz w:val="20"/>
                <w:szCs w:val="20"/>
              </w:rPr>
            </w:pPr>
            <w:r>
              <w:rPr>
                <w:rFonts w:ascii="Times New Roman" w:eastAsia="Times New Roman" w:hAnsi="Times New Roman" w:cs="Times New Roman"/>
                <w:sz w:val="20"/>
                <w:szCs w:val="20"/>
              </w:rPr>
              <w:t>Restricted Transfer</w:t>
            </w:r>
          </w:p>
        </w:tc>
        <w:tc>
          <w:tcPr>
            <w:tcW w:w="6740" w:type="dxa"/>
          </w:tcPr>
          <w:p w14:paraId="57CE0FF0" w14:textId="77777777" w:rsidR="00150E9E" w:rsidRDefault="00000000">
            <w:pPr>
              <w:spacing w:before="240"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A transfer which is covered by Chapter V of the UK GDPR.</w:t>
            </w:r>
          </w:p>
        </w:tc>
      </w:tr>
      <w:tr w:rsidR="00150E9E" w14:paraId="4DFD5A6E" w14:textId="77777777">
        <w:tc>
          <w:tcPr>
            <w:tcW w:w="2604" w:type="dxa"/>
            <w:shd w:val="clear" w:color="auto" w:fill="FFF2CC"/>
          </w:tcPr>
          <w:p w14:paraId="007B31E3" w14:textId="77777777" w:rsidR="00150E9E" w:rsidRDefault="00000000">
            <w:pPr>
              <w:spacing w:before="360" w:after="480"/>
              <w:rPr>
                <w:rFonts w:ascii="Times New Roman" w:eastAsia="Times New Roman" w:hAnsi="Times New Roman" w:cs="Times New Roman"/>
                <w:sz w:val="20"/>
                <w:szCs w:val="20"/>
              </w:rPr>
            </w:pPr>
            <w:r>
              <w:rPr>
                <w:rFonts w:ascii="Times New Roman" w:eastAsia="Times New Roman" w:hAnsi="Times New Roman" w:cs="Times New Roman"/>
                <w:sz w:val="20"/>
                <w:szCs w:val="20"/>
              </w:rPr>
              <w:t>UK</w:t>
            </w:r>
          </w:p>
        </w:tc>
        <w:tc>
          <w:tcPr>
            <w:tcW w:w="6740" w:type="dxa"/>
          </w:tcPr>
          <w:p w14:paraId="11358A0A" w14:textId="77777777" w:rsidR="00150E9E" w:rsidRDefault="00000000">
            <w:pPr>
              <w:spacing w:before="240"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The United Kingdom of Great Britain and Northern Ireland.</w:t>
            </w:r>
          </w:p>
        </w:tc>
      </w:tr>
      <w:tr w:rsidR="00150E9E" w14:paraId="4615F1B2" w14:textId="77777777">
        <w:trPr>
          <w:trHeight w:val="1029"/>
        </w:trPr>
        <w:tc>
          <w:tcPr>
            <w:tcW w:w="2604" w:type="dxa"/>
            <w:shd w:val="clear" w:color="auto" w:fill="FFF2CC"/>
          </w:tcPr>
          <w:p w14:paraId="0B83072B" w14:textId="77777777" w:rsidR="00150E9E" w:rsidRDefault="00000000">
            <w:pPr>
              <w:spacing w:before="240" w:after="960"/>
              <w:rPr>
                <w:rFonts w:ascii="Times New Roman" w:eastAsia="Times New Roman" w:hAnsi="Times New Roman" w:cs="Times New Roman"/>
                <w:sz w:val="20"/>
                <w:szCs w:val="20"/>
              </w:rPr>
            </w:pPr>
            <w:r>
              <w:rPr>
                <w:rFonts w:ascii="Times New Roman" w:eastAsia="Times New Roman" w:hAnsi="Times New Roman" w:cs="Times New Roman"/>
                <w:sz w:val="20"/>
                <w:szCs w:val="20"/>
              </w:rPr>
              <w:t>UK Data Protection Laws</w:t>
            </w:r>
          </w:p>
        </w:tc>
        <w:tc>
          <w:tcPr>
            <w:tcW w:w="6740" w:type="dxa"/>
          </w:tcPr>
          <w:p w14:paraId="3CB6A648" w14:textId="77777777" w:rsidR="00150E9E" w:rsidRDefault="00000000">
            <w:pPr>
              <w:spacing w:before="240"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All laws relating to data protection, the processing of personal data, privacy and/or electronic communications in force from time to time in the UK, including the UK GDPR and the Data Protection Act 2018.</w:t>
            </w:r>
          </w:p>
        </w:tc>
      </w:tr>
      <w:tr w:rsidR="00150E9E" w14:paraId="35A5ECC5" w14:textId="77777777">
        <w:trPr>
          <w:trHeight w:val="660"/>
        </w:trPr>
        <w:tc>
          <w:tcPr>
            <w:tcW w:w="2604" w:type="dxa"/>
            <w:shd w:val="clear" w:color="auto" w:fill="FFF2CC"/>
          </w:tcPr>
          <w:p w14:paraId="52E615D3" w14:textId="77777777" w:rsidR="00150E9E" w:rsidRDefault="00000000">
            <w:pPr>
              <w:spacing w:before="360" w:after="360"/>
              <w:rPr>
                <w:rFonts w:ascii="Times New Roman" w:eastAsia="Times New Roman" w:hAnsi="Times New Roman" w:cs="Times New Roman"/>
                <w:sz w:val="20"/>
                <w:szCs w:val="20"/>
              </w:rPr>
            </w:pPr>
            <w:r>
              <w:rPr>
                <w:rFonts w:ascii="Times New Roman" w:eastAsia="Times New Roman" w:hAnsi="Times New Roman" w:cs="Times New Roman"/>
                <w:sz w:val="20"/>
                <w:szCs w:val="20"/>
              </w:rPr>
              <w:t>UK GDPR</w:t>
            </w:r>
          </w:p>
        </w:tc>
        <w:tc>
          <w:tcPr>
            <w:tcW w:w="6740" w:type="dxa"/>
          </w:tcPr>
          <w:p w14:paraId="5FE02986" w14:textId="77777777" w:rsidR="00150E9E" w:rsidRDefault="00000000">
            <w:pPr>
              <w:spacing w:before="240" w:after="240"/>
              <w:rPr>
                <w:rFonts w:ascii="Times New Roman" w:eastAsia="Times New Roman" w:hAnsi="Times New Roman" w:cs="Times New Roman"/>
                <w:sz w:val="20"/>
                <w:szCs w:val="20"/>
              </w:rPr>
            </w:pPr>
            <w:r>
              <w:rPr>
                <w:rFonts w:ascii="Times New Roman" w:eastAsia="Times New Roman" w:hAnsi="Times New Roman" w:cs="Times New Roman"/>
                <w:sz w:val="20"/>
                <w:szCs w:val="20"/>
              </w:rPr>
              <w:t>As defined in section 3 of the Data Protection Act 2018.</w:t>
            </w:r>
          </w:p>
        </w:tc>
      </w:tr>
    </w:tbl>
    <w:p w14:paraId="39791B68" w14:textId="77777777" w:rsidR="00150E9E" w:rsidRDefault="00150E9E">
      <w:pPr>
        <w:spacing w:after="240" w:line="240" w:lineRule="auto"/>
        <w:rPr>
          <w:rFonts w:ascii="Times New Roman" w:eastAsia="Times New Roman" w:hAnsi="Times New Roman" w:cs="Times New Roman"/>
          <w:sz w:val="24"/>
          <w:szCs w:val="24"/>
        </w:rPr>
      </w:pPr>
    </w:p>
    <w:p w14:paraId="761D3673"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This Addendum must always be interpreted in a manner that is consistent with UK Data Protection Laws and so that it fulfils the Parties’ obligation to provide the Appropriate Safeguards.</w:t>
      </w:r>
    </w:p>
    <w:p w14:paraId="59BED987"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 xml:space="preserve">If the provisions included in the Addendum EU SCCs amend the Approved SCCs in any way which is not permitted under the Approved EU SCCs or the Approved Addendum, such </w:t>
      </w:r>
      <w:r>
        <w:rPr>
          <w:rFonts w:ascii="Times New Roman" w:eastAsia="Times New Roman" w:hAnsi="Times New Roman" w:cs="Times New Roman"/>
          <w:sz w:val="24"/>
          <w:szCs w:val="24"/>
        </w:rPr>
        <w:lastRenderedPageBreak/>
        <w:t xml:space="preserve">amendment(s) will not be incorporated in this </w:t>
      </w:r>
      <w:proofErr w:type="gramStart"/>
      <w:r>
        <w:rPr>
          <w:rFonts w:ascii="Times New Roman" w:eastAsia="Times New Roman" w:hAnsi="Times New Roman" w:cs="Times New Roman"/>
          <w:sz w:val="24"/>
          <w:szCs w:val="24"/>
        </w:rPr>
        <w:t>Addendum</w:t>
      </w:r>
      <w:proofErr w:type="gramEnd"/>
      <w:r>
        <w:rPr>
          <w:rFonts w:ascii="Times New Roman" w:eastAsia="Times New Roman" w:hAnsi="Times New Roman" w:cs="Times New Roman"/>
          <w:sz w:val="24"/>
          <w:szCs w:val="24"/>
        </w:rPr>
        <w:t xml:space="preserve"> and the equivalent provision of the Approved EU SCCs will take their place.</w:t>
      </w:r>
    </w:p>
    <w:p w14:paraId="09AC04B6"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If there is any inconsistency or conflict between UK Data Protection Laws and this Addendum, UK Data Protection Laws applies.</w:t>
      </w:r>
    </w:p>
    <w:p w14:paraId="273D667A"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If the meaning of this Addendum is unclear or there is more than one meaning, the meaning which most closely aligns with UK Data Protection Laws applies.</w:t>
      </w:r>
    </w:p>
    <w:p w14:paraId="79911E2C"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Any references to legislation (or specific provisions of legislation) means that legislation (or specific provision</w:t>
      </w:r>
      <w:proofErr w:type="gramStart"/>
      <w:r>
        <w:rPr>
          <w:rFonts w:ascii="Times New Roman" w:eastAsia="Times New Roman" w:hAnsi="Times New Roman" w:cs="Times New Roman"/>
          <w:sz w:val="24"/>
          <w:szCs w:val="24"/>
        </w:rPr>
        <w:t>) as it</w:t>
      </w:r>
      <w:proofErr w:type="gramEnd"/>
      <w:r>
        <w:rPr>
          <w:rFonts w:ascii="Times New Roman" w:eastAsia="Times New Roman" w:hAnsi="Times New Roman" w:cs="Times New Roman"/>
          <w:sz w:val="24"/>
          <w:szCs w:val="24"/>
        </w:rPr>
        <w:t xml:space="preserve"> may change over time. This includes where that legislation (or specific provision) has been consolidated, re</w:t>
      </w:r>
      <w:proofErr w:type="gramStart"/>
      <w:r>
        <w:rPr>
          <w:rFonts w:ascii="Times New Roman" w:eastAsia="Times New Roman" w:hAnsi="Times New Roman" w:cs="Times New Roman"/>
          <w:sz w:val="24"/>
          <w:szCs w:val="24"/>
        </w:rPr>
        <w:t>- enacted</w:t>
      </w:r>
      <w:proofErr w:type="gramEnd"/>
      <w:r>
        <w:rPr>
          <w:rFonts w:ascii="Times New Roman" w:eastAsia="Times New Roman" w:hAnsi="Times New Roman" w:cs="Times New Roman"/>
          <w:sz w:val="24"/>
          <w:szCs w:val="24"/>
        </w:rPr>
        <w:t xml:space="preserve"> and/or replaced after this Addendum has been </w:t>
      </w:r>
      <w:proofErr w:type="gramStart"/>
      <w:r>
        <w:rPr>
          <w:rFonts w:ascii="Times New Roman" w:eastAsia="Times New Roman" w:hAnsi="Times New Roman" w:cs="Times New Roman"/>
          <w:sz w:val="24"/>
          <w:szCs w:val="24"/>
        </w:rPr>
        <w:t>entered into</w:t>
      </w:r>
      <w:proofErr w:type="gramEnd"/>
      <w:r>
        <w:rPr>
          <w:rFonts w:ascii="Times New Roman" w:eastAsia="Times New Roman" w:hAnsi="Times New Roman" w:cs="Times New Roman"/>
          <w:sz w:val="24"/>
          <w:szCs w:val="24"/>
        </w:rPr>
        <w:t>.</w:t>
      </w:r>
    </w:p>
    <w:p w14:paraId="4F3F859B" w14:textId="77777777" w:rsidR="00150E9E" w:rsidRDefault="00000000">
      <w:pPr>
        <w:spacing w:after="24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Hierarchy</w:t>
      </w:r>
    </w:p>
    <w:p w14:paraId="52F55C75"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Although Clause 5 of the Approved EU SCCs sets out that the Approved EU SCCs prevail over all related agreements between the parties, the parties agree that, for Restricted Transfers, the hierarchy in Section 10 will prevail.</w:t>
      </w:r>
    </w:p>
    <w:p w14:paraId="29E8C37B"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Where there is any inconsistency or conflict between the Approved Addendum and the Addendum EU SCCs (as applicable), the Approved Addendum overrides the Addendum EU SCCs, except where (and in so far as) the inconsistent or conflicting terms of the Addendum EU SCCs provides greater protection for data subjects, in which case those terms will override the Approved Addendum.</w:t>
      </w:r>
    </w:p>
    <w:p w14:paraId="61A00A64"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Where this Addendum incorporates Addendum EU SCCs which have been entered into to protect transfers subject to the General Data Protection Regulation (EU) 2016/679 then the Parties acknowledge that nothing in this Addendum impacts those Addendum EU SCCs.</w:t>
      </w:r>
    </w:p>
    <w:p w14:paraId="53BB8DD2" w14:textId="77777777" w:rsidR="00150E9E" w:rsidRDefault="00000000">
      <w:pPr>
        <w:spacing w:after="24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Incorporation of and changes to the EU SCCs</w:t>
      </w:r>
    </w:p>
    <w:p w14:paraId="5D3C95EB"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This Addendum incorporates the Addendum EU SCCs which are amended to the extent necessary so that:</w:t>
      </w:r>
    </w:p>
    <w:p w14:paraId="78503009" w14:textId="77777777" w:rsidR="00150E9E" w:rsidRDefault="00000000">
      <w:pPr>
        <w:numPr>
          <w:ilvl w:val="1"/>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 xml:space="preserve">together they </w:t>
      </w:r>
      <w:proofErr w:type="gramStart"/>
      <w:r>
        <w:rPr>
          <w:rFonts w:ascii="Times New Roman" w:eastAsia="Times New Roman" w:hAnsi="Times New Roman" w:cs="Times New Roman"/>
          <w:sz w:val="24"/>
          <w:szCs w:val="24"/>
        </w:rPr>
        <w:t>operate for</w:t>
      </w:r>
      <w:proofErr w:type="gramEnd"/>
      <w:r>
        <w:rPr>
          <w:rFonts w:ascii="Times New Roman" w:eastAsia="Times New Roman" w:hAnsi="Times New Roman" w:cs="Times New Roman"/>
          <w:sz w:val="24"/>
          <w:szCs w:val="24"/>
        </w:rPr>
        <w:t xml:space="preserve"> data transfers made by the data exporter to the data importer, to the extent that UK Data Protection Laws apply to the data exporter’s processing when making that data transfer, and they provide Appropriate Safeguards for those data </w:t>
      </w:r>
      <w:proofErr w:type="gramStart"/>
      <w:r>
        <w:rPr>
          <w:rFonts w:ascii="Times New Roman" w:eastAsia="Times New Roman" w:hAnsi="Times New Roman" w:cs="Times New Roman"/>
          <w:sz w:val="24"/>
          <w:szCs w:val="24"/>
        </w:rPr>
        <w:t>transfers;</w:t>
      </w:r>
      <w:proofErr w:type="gramEnd"/>
    </w:p>
    <w:p w14:paraId="374FB70A" w14:textId="77777777" w:rsidR="00150E9E" w:rsidRDefault="00000000">
      <w:pPr>
        <w:numPr>
          <w:ilvl w:val="1"/>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Sections 9 to 11 override Clause 5 (Hierarchy) of the Addendum EU SCCs; and</w:t>
      </w:r>
    </w:p>
    <w:p w14:paraId="082DD886" w14:textId="77777777" w:rsidR="00150E9E" w:rsidRDefault="00000000">
      <w:pPr>
        <w:numPr>
          <w:ilvl w:val="1"/>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this Addendum (including the Addendum EU SCCs incorporated into it) is (1) governed by the laws of England and Wales and (2) any dispute arising from it is resolved by the courts of England and Wales, in each case unless the laws and/or courts of Scotland or Northern Ireland have been expressly selected by the Parties.</w:t>
      </w:r>
    </w:p>
    <w:p w14:paraId="61D830A5"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lastRenderedPageBreak/>
        <w:t>Unless the Parties have agreed alternative amendments which meet the requirements of Section 12, the provisions of Section 15 will apply.</w:t>
      </w:r>
    </w:p>
    <w:p w14:paraId="3DCF0AF9"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No amendments to the Approved EU SCCs other than to meet the requirements of Section 12 may be made.</w:t>
      </w:r>
    </w:p>
    <w:p w14:paraId="4AE4D4EA"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The following amendments to the Addendum EU SCCs (for the purpose of Section 12) are made:</w:t>
      </w:r>
    </w:p>
    <w:p w14:paraId="47C8E269" w14:textId="77777777" w:rsidR="00150E9E" w:rsidRDefault="00000000">
      <w:pPr>
        <w:numPr>
          <w:ilvl w:val="1"/>
          <w:numId w:val="1"/>
        </w:numPr>
        <w:spacing w:after="240" w:line="240" w:lineRule="auto"/>
        <w:ind w:left="792"/>
        <w:jc w:val="both"/>
        <w:rPr>
          <w:rFonts w:ascii="Times New Roman" w:eastAsia="Times New Roman" w:hAnsi="Times New Roman" w:cs="Times New Roman"/>
        </w:rPr>
      </w:pPr>
      <w:r>
        <w:rPr>
          <w:rFonts w:ascii="Times New Roman" w:eastAsia="Times New Roman" w:hAnsi="Times New Roman" w:cs="Times New Roman"/>
          <w:sz w:val="24"/>
          <w:szCs w:val="24"/>
        </w:rPr>
        <w:t xml:space="preserve">References to the “Clauses” means this Addendum, incorporating the Addendum EU </w:t>
      </w:r>
      <w:proofErr w:type="gramStart"/>
      <w:r>
        <w:rPr>
          <w:rFonts w:ascii="Times New Roman" w:eastAsia="Times New Roman" w:hAnsi="Times New Roman" w:cs="Times New Roman"/>
          <w:sz w:val="24"/>
          <w:szCs w:val="24"/>
        </w:rPr>
        <w:t>SCCs;</w:t>
      </w:r>
      <w:proofErr w:type="gramEnd"/>
    </w:p>
    <w:p w14:paraId="00A2A1FA" w14:textId="77777777" w:rsidR="00150E9E" w:rsidRDefault="00000000">
      <w:pPr>
        <w:numPr>
          <w:ilvl w:val="1"/>
          <w:numId w:val="1"/>
        </w:numPr>
        <w:spacing w:after="240" w:line="240" w:lineRule="auto"/>
        <w:ind w:left="792"/>
        <w:jc w:val="both"/>
        <w:rPr>
          <w:rFonts w:ascii="Times New Roman" w:eastAsia="Times New Roman" w:hAnsi="Times New Roman" w:cs="Times New Roman"/>
        </w:rPr>
      </w:pPr>
      <w:r>
        <w:rPr>
          <w:rFonts w:ascii="Times New Roman" w:eastAsia="Times New Roman" w:hAnsi="Times New Roman" w:cs="Times New Roman"/>
          <w:sz w:val="24"/>
          <w:szCs w:val="24"/>
        </w:rPr>
        <w:t>In Clause 2, delete the words:</w:t>
      </w:r>
    </w:p>
    <w:p w14:paraId="7A2CA066" w14:textId="77777777" w:rsidR="00150E9E" w:rsidRDefault="00000000">
      <w:pPr>
        <w:spacing w:before="200" w:after="160" w:line="240" w:lineRule="auto"/>
        <w:ind w:left="864" w:right="864"/>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w:t>
      </w:r>
      <w:proofErr w:type="gramStart"/>
      <w:r>
        <w:rPr>
          <w:rFonts w:ascii="Times New Roman" w:eastAsia="Times New Roman" w:hAnsi="Times New Roman" w:cs="Times New Roman"/>
          <w:i/>
          <w:sz w:val="24"/>
          <w:szCs w:val="24"/>
        </w:rPr>
        <w:t>and</w:t>
      </w:r>
      <w:proofErr w:type="gramEnd"/>
      <w:r>
        <w:rPr>
          <w:rFonts w:ascii="Times New Roman" w:eastAsia="Times New Roman" w:hAnsi="Times New Roman" w:cs="Times New Roman"/>
          <w:i/>
          <w:sz w:val="24"/>
          <w:szCs w:val="24"/>
        </w:rPr>
        <w:t>, with respect to data transfers from controllers to processors and/or processors to processors, standard contractual clauses pursuant to Article 28(7) of Regulation (EU) 2016/679</w:t>
      </w:r>
      <w:proofErr w:type="gramStart"/>
      <w:r>
        <w:rPr>
          <w:rFonts w:ascii="Times New Roman" w:eastAsia="Times New Roman" w:hAnsi="Times New Roman" w:cs="Times New Roman"/>
          <w:i/>
          <w:sz w:val="24"/>
          <w:szCs w:val="24"/>
        </w:rPr>
        <w:t>”;</w:t>
      </w:r>
      <w:proofErr w:type="gramEnd"/>
    </w:p>
    <w:p w14:paraId="1D126C2F" w14:textId="77777777" w:rsidR="00150E9E" w:rsidRDefault="00000000">
      <w:pPr>
        <w:numPr>
          <w:ilvl w:val="1"/>
          <w:numId w:val="1"/>
        </w:numPr>
        <w:spacing w:after="240" w:line="240" w:lineRule="auto"/>
        <w:ind w:left="792"/>
        <w:jc w:val="both"/>
        <w:rPr>
          <w:rFonts w:ascii="Times New Roman" w:eastAsia="Times New Roman" w:hAnsi="Times New Roman" w:cs="Times New Roman"/>
        </w:rPr>
      </w:pPr>
      <w:r>
        <w:rPr>
          <w:rFonts w:ascii="Times New Roman" w:eastAsia="Times New Roman" w:hAnsi="Times New Roman" w:cs="Times New Roman"/>
          <w:sz w:val="24"/>
          <w:szCs w:val="24"/>
        </w:rPr>
        <w:t>Clause 6 (Description of the transfer(s)) is replaced with:</w:t>
      </w:r>
    </w:p>
    <w:p w14:paraId="66CD0124" w14:textId="77777777" w:rsidR="00150E9E" w:rsidRDefault="00000000">
      <w:pPr>
        <w:spacing w:before="200" w:after="160" w:line="240" w:lineRule="auto"/>
        <w:ind w:left="864" w:right="864"/>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“The details of the transfers(s) and in particular the categories of personal data that are transferred and the purpose(s) for which they are transferred) are those specified in Annex I.B where UK Data Protection Laws apply to the data exporter’s processing when making that transfer.</w:t>
      </w:r>
      <w:proofErr w:type="gramStart"/>
      <w:r>
        <w:rPr>
          <w:rFonts w:ascii="Times New Roman" w:eastAsia="Times New Roman" w:hAnsi="Times New Roman" w:cs="Times New Roman"/>
          <w:i/>
          <w:sz w:val="24"/>
          <w:szCs w:val="24"/>
        </w:rPr>
        <w:t>”;</w:t>
      </w:r>
      <w:proofErr w:type="gramEnd"/>
    </w:p>
    <w:p w14:paraId="61B1B983" w14:textId="77777777" w:rsidR="00150E9E" w:rsidRDefault="00000000">
      <w:pPr>
        <w:numPr>
          <w:ilvl w:val="1"/>
          <w:numId w:val="1"/>
        </w:numPr>
        <w:spacing w:after="240" w:line="240" w:lineRule="auto"/>
        <w:ind w:left="792"/>
        <w:jc w:val="both"/>
        <w:rPr>
          <w:rFonts w:ascii="Times New Roman" w:eastAsia="Times New Roman" w:hAnsi="Times New Roman" w:cs="Times New Roman"/>
        </w:rPr>
      </w:pPr>
      <w:r>
        <w:rPr>
          <w:rFonts w:ascii="Times New Roman" w:eastAsia="Times New Roman" w:hAnsi="Times New Roman" w:cs="Times New Roman"/>
          <w:sz w:val="24"/>
          <w:szCs w:val="24"/>
        </w:rPr>
        <w:t>Clause 8.7(</w:t>
      </w:r>
      <w:proofErr w:type="spellStart"/>
      <w:r>
        <w:rPr>
          <w:rFonts w:ascii="Times New Roman" w:eastAsia="Times New Roman" w:hAnsi="Times New Roman" w:cs="Times New Roman"/>
          <w:sz w:val="24"/>
          <w:szCs w:val="24"/>
        </w:rPr>
        <w:t>i</w:t>
      </w:r>
      <w:proofErr w:type="spellEnd"/>
      <w:r>
        <w:rPr>
          <w:rFonts w:ascii="Times New Roman" w:eastAsia="Times New Roman" w:hAnsi="Times New Roman" w:cs="Times New Roman"/>
          <w:sz w:val="24"/>
          <w:szCs w:val="24"/>
        </w:rPr>
        <w:t>) of Module 1 is replaced with:</w:t>
      </w:r>
    </w:p>
    <w:p w14:paraId="7A26C4F5" w14:textId="77777777" w:rsidR="00150E9E" w:rsidRDefault="00000000">
      <w:pPr>
        <w:spacing w:before="200" w:after="160" w:line="240" w:lineRule="auto"/>
        <w:ind w:left="864" w:right="864"/>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w:t>
      </w:r>
      <w:proofErr w:type="gramStart"/>
      <w:r>
        <w:rPr>
          <w:rFonts w:ascii="Times New Roman" w:eastAsia="Times New Roman" w:hAnsi="Times New Roman" w:cs="Times New Roman"/>
          <w:i/>
          <w:sz w:val="24"/>
          <w:szCs w:val="24"/>
        </w:rPr>
        <w:t>it</w:t>
      </w:r>
      <w:proofErr w:type="gramEnd"/>
      <w:r>
        <w:rPr>
          <w:rFonts w:ascii="Times New Roman" w:eastAsia="Times New Roman" w:hAnsi="Times New Roman" w:cs="Times New Roman"/>
          <w:i/>
          <w:sz w:val="24"/>
          <w:szCs w:val="24"/>
        </w:rPr>
        <w:t xml:space="preserve"> is to a country benefitting from adequacy regulations pursuant to Section 17A of the UK GDPR that covers the onward transfer</w:t>
      </w:r>
      <w:proofErr w:type="gramStart"/>
      <w:r>
        <w:rPr>
          <w:rFonts w:ascii="Times New Roman" w:eastAsia="Times New Roman" w:hAnsi="Times New Roman" w:cs="Times New Roman"/>
          <w:i/>
          <w:sz w:val="24"/>
          <w:szCs w:val="24"/>
        </w:rPr>
        <w:t>”;</w:t>
      </w:r>
      <w:proofErr w:type="gramEnd"/>
    </w:p>
    <w:p w14:paraId="3C5EDA33" w14:textId="77777777" w:rsidR="00150E9E" w:rsidRDefault="00000000">
      <w:pPr>
        <w:numPr>
          <w:ilvl w:val="1"/>
          <w:numId w:val="1"/>
        </w:numPr>
        <w:spacing w:after="240" w:line="240" w:lineRule="auto"/>
        <w:ind w:left="792"/>
        <w:jc w:val="both"/>
        <w:rPr>
          <w:rFonts w:ascii="Times New Roman" w:eastAsia="Times New Roman" w:hAnsi="Times New Roman" w:cs="Times New Roman"/>
        </w:rPr>
      </w:pPr>
      <w:r>
        <w:rPr>
          <w:rFonts w:ascii="Times New Roman" w:eastAsia="Times New Roman" w:hAnsi="Times New Roman" w:cs="Times New Roman"/>
          <w:sz w:val="24"/>
          <w:szCs w:val="24"/>
        </w:rPr>
        <w:t>Clause 8.8(</w:t>
      </w:r>
      <w:proofErr w:type="spellStart"/>
      <w:r>
        <w:rPr>
          <w:rFonts w:ascii="Times New Roman" w:eastAsia="Times New Roman" w:hAnsi="Times New Roman" w:cs="Times New Roman"/>
          <w:sz w:val="24"/>
          <w:szCs w:val="24"/>
        </w:rPr>
        <w:t>i</w:t>
      </w:r>
      <w:proofErr w:type="spellEnd"/>
      <w:r>
        <w:rPr>
          <w:rFonts w:ascii="Times New Roman" w:eastAsia="Times New Roman" w:hAnsi="Times New Roman" w:cs="Times New Roman"/>
          <w:sz w:val="24"/>
          <w:szCs w:val="24"/>
        </w:rPr>
        <w:t>) of Modules 2 and 3 is replaced with:</w:t>
      </w:r>
    </w:p>
    <w:p w14:paraId="1DE59F49" w14:textId="77777777" w:rsidR="00150E9E" w:rsidRDefault="00000000">
      <w:pPr>
        <w:spacing w:before="200" w:after="160" w:line="240" w:lineRule="auto"/>
        <w:ind w:left="864" w:right="864"/>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w:t>
      </w:r>
      <w:proofErr w:type="gramStart"/>
      <w:r>
        <w:rPr>
          <w:rFonts w:ascii="Times New Roman" w:eastAsia="Times New Roman" w:hAnsi="Times New Roman" w:cs="Times New Roman"/>
          <w:i/>
          <w:sz w:val="24"/>
          <w:szCs w:val="24"/>
        </w:rPr>
        <w:t>the</w:t>
      </w:r>
      <w:proofErr w:type="gramEnd"/>
      <w:r>
        <w:rPr>
          <w:rFonts w:ascii="Times New Roman" w:eastAsia="Times New Roman" w:hAnsi="Times New Roman" w:cs="Times New Roman"/>
          <w:i/>
          <w:sz w:val="24"/>
          <w:szCs w:val="24"/>
        </w:rPr>
        <w:t xml:space="preserve"> onward transfer is to a country benefitting from adequacy regulations pursuant to Section 17A of the UK GDPR that covers the onward transfer;”</w:t>
      </w:r>
    </w:p>
    <w:p w14:paraId="0D1C754F" w14:textId="77777777" w:rsidR="00150E9E" w:rsidRDefault="00000000">
      <w:pPr>
        <w:numPr>
          <w:ilvl w:val="1"/>
          <w:numId w:val="1"/>
        </w:numPr>
        <w:spacing w:after="240" w:line="240" w:lineRule="auto"/>
        <w:ind w:left="792"/>
        <w:jc w:val="both"/>
        <w:rPr>
          <w:rFonts w:ascii="Times New Roman" w:eastAsia="Times New Roman" w:hAnsi="Times New Roman" w:cs="Times New Roman"/>
        </w:rPr>
      </w:pPr>
      <w:r>
        <w:rPr>
          <w:rFonts w:ascii="Times New Roman" w:eastAsia="Times New Roman" w:hAnsi="Times New Roman" w:cs="Times New Roman"/>
          <w:sz w:val="24"/>
          <w:szCs w:val="24"/>
        </w:rPr>
        <w:t xml:space="preserve">References to “Regulation (EU) 2016/679”, “Regulation (EU) 2016/679 of the European Parliament and of the Council of 27 April 2016 on the protection of natural persons with regard to the processing of personal data and on the free movement of such data (General Data Protection Regulation)” and “that Regulation” are all replaced by “UK Data Protection Laws”. References to specific Article(s) of “Regulation (EU) 2016/679” are replaced with the equivalent Article or Section of UK Data Protection </w:t>
      </w:r>
      <w:proofErr w:type="gramStart"/>
      <w:r>
        <w:rPr>
          <w:rFonts w:ascii="Times New Roman" w:eastAsia="Times New Roman" w:hAnsi="Times New Roman" w:cs="Times New Roman"/>
          <w:sz w:val="24"/>
          <w:szCs w:val="24"/>
        </w:rPr>
        <w:t>Laws;</w:t>
      </w:r>
      <w:proofErr w:type="gramEnd"/>
    </w:p>
    <w:p w14:paraId="17CD1D9C" w14:textId="77777777" w:rsidR="00150E9E" w:rsidRDefault="00000000">
      <w:pPr>
        <w:numPr>
          <w:ilvl w:val="1"/>
          <w:numId w:val="1"/>
        </w:numPr>
        <w:spacing w:after="240" w:line="240" w:lineRule="auto"/>
        <w:ind w:left="792"/>
        <w:jc w:val="both"/>
        <w:rPr>
          <w:rFonts w:ascii="Times New Roman" w:eastAsia="Times New Roman" w:hAnsi="Times New Roman" w:cs="Times New Roman"/>
        </w:rPr>
      </w:pPr>
      <w:r>
        <w:rPr>
          <w:rFonts w:ascii="Times New Roman" w:eastAsia="Times New Roman" w:hAnsi="Times New Roman" w:cs="Times New Roman"/>
          <w:sz w:val="24"/>
          <w:szCs w:val="24"/>
        </w:rPr>
        <w:t xml:space="preserve">References to Regulation (EU) 2018/1725 are </w:t>
      </w:r>
      <w:proofErr w:type="gramStart"/>
      <w:r>
        <w:rPr>
          <w:rFonts w:ascii="Times New Roman" w:eastAsia="Times New Roman" w:hAnsi="Times New Roman" w:cs="Times New Roman"/>
          <w:sz w:val="24"/>
          <w:szCs w:val="24"/>
        </w:rPr>
        <w:t>removed;</w:t>
      </w:r>
      <w:proofErr w:type="gramEnd"/>
    </w:p>
    <w:p w14:paraId="32F5AF35" w14:textId="77777777" w:rsidR="00150E9E" w:rsidRDefault="00000000">
      <w:pPr>
        <w:numPr>
          <w:ilvl w:val="1"/>
          <w:numId w:val="1"/>
        </w:numPr>
        <w:spacing w:after="240" w:line="240" w:lineRule="auto"/>
        <w:ind w:left="792"/>
        <w:jc w:val="both"/>
        <w:rPr>
          <w:rFonts w:ascii="Times New Roman" w:eastAsia="Times New Roman" w:hAnsi="Times New Roman" w:cs="Times New Roman"/>
        </w:rPr>
      </w:pPr>
      <w:r>
        <w:rPr>
          <w:rFonts w:ascii="Times New Roman" w:eastAsia="Times New Roman" w:hAnsi="Times New Roman" w:cs="Times New Roman"/>
          <w:sz w:val="24"/>
          <w:szCs w:val="24"/>
        </w:rPr>
        <w:t>References to the “European Union”, “Union”, “EU”, “EU Member State”, “Member State” and “EU or Member State” are all replaced with the “UK</w:t>
      </w:r>
      <w:proofErr w:type="gramStart"/>
      <w:r>
        <w:rPr>
          <w:rFonts w:ascii="Times New Roman" w:eastAsia="Times New Roman" w:hAnsi="Times New Roman" w:cs="Times New Roman"/>
          <w:sz w:val="24"/>
          <w:szCs w:val="24"/>
        </w:rPr>
        <w:t>”;</w:t>
      </w:r>
      <w:proofErr w:type="gramEnd"/>
    </w:p>
    <w:p w14:paraId="164F4D50" w14:textId="77777777" w:rsidR="00150E9E" w:rsidRDefault="00000000">
      <w:pPr>
        <w:numPr>
          <w:ilvl w:val="1"/>
          <w:numId w:val="1"/>
        </w:numPr>
        <w:spacing w:after="240" w:line="240" w:lineRule="auto"/>
        <w:ind w:left="792"/>
        <w:jc w:val="both"/>
        <w:rPr>
          <w:rFonts w:ascii="Times New Roman" w:eastAsia="Times New Roman" w:hAnsi="Times New Roman" w:cs="Times New Roman"/>
        </w:rPr>
      </w:pPr>
      <w:r>
        <w:rPr>
          <w:rFonts w:ascii="Times New Roman" w:eastAsia="Times New Roman" w:hAnsi="Times New Roman" w:cs="Times New Roman"/>
          <w:sz w:val="24"/>
          <w:szCs w:val="24"/>
        </w:rPr>
        <w:t>The reference to “Clause 12(c)(</w:t>
      </w:r>
      <w:proofErr w:type="spellStart"/>
      <w:r>
        <w:rPr>
          <w:rFonts w:ascii="Times New Roman" w:eastAsia="Times New Roman" w:hAnsi="Times New Roman" w:cs="Times New Roman"/>
          <w:sz w:val="24"/>
          <w:szCs w:val="24"/>
        </w:rPr>
        <w:t>i</w:t>
      </w:r>
      <w:proofErr w:type="spellEnd"/>
      <w:r>
        <w:rPr>
          <w:rFonts w:ascii="Times New Roman" w:eastAsia="Times New Roman" w:hAnsi="Times New Roman" w:cs="Times New Roman"/>
          <w:sz w:val="24"/>
          <w:szCs w:val="24"/>
        </w:rPr>
        <w:t>)” at Clause 10(b)(</w:t>
      </w:r>
      <w:proofErr w:type="spellStart"/>
      <w:r>
        <w:rPr>
          <w:rFonts w:ascii="Times New Roman" w:eastAsia="Times New Roman" w:hAnsi="Times New Roman" w:cs="Times New Roman"/>
          <w:sz w:val="24"/>
          <w:szCs w:val="24"/>
        </w:rPr>
        <w:t>i</w:t>
      </w:r>
      <w:proofErr w:type="spellEnd"/>
      <w:r>
        <w:rPr>
          <w:rFonts w:ascii="Times New Roman" w:eastAsia="Times New Roman" w:hAnsi="Times New Roman" w:cs="Times New Roman"/>
          <w:sz w:val="24"/>
          <w:szCs w:val="24"/>
        </w:rPr>
        <w:t>) of Module one, is replaced with “Clause 11(c)(</w:t>
      </w:r>
      <w:proofErr w:type="spellStart"/>
      <w:r>
        <w:rPr>
          <w:rFonts w:ascii="Times New Roman" w:eastAsia="Times New Roman" w:hAnsi="Times New Roman" w:cs="Times New Roman"/>
          <w:sz w:val="24"/>
          <w:szCs w:val="24"/>
        </w:rPr>
        <w:t>i</w:t>
      </w:r>
      <w:proofErr w:type="spellEnd"/>
      <w:r>
        <w:rPr>
          <w:rFonts w:ascii="Times New Roman" w:eastAsia="Times New Roman" w:hAnsi="Times New Roman" w:cs="Times New Roman"/>
          <w:sz w:val="24"/>
          <w:szCs w:val="24"/>
        </w:rPr>
        <w:t>)</w:t>
      </w:r>
      <w:proofErr w:type="gramStart"/>
      <w:r>
        <w:rPr>
          <w:rFonts w:ascii="Times New Roman" w:eastAsia="Times New Roman" w:hAnsi="Times New Roman" w:cs="Times New Roman"/>
          <w:sz w:val="24"/>
          <w:szCs w:val="24"/>
        </w:rPr>
        <w:t>”;</w:t>
      </w:r>
      <w:proofErr w:type="gramEnd"/>
    </w:p>
    <w:p w14:paraId="7B55AD5B" w14:textId="77777777" w:rsidR="00150E9E" w:rsidRDefault="00000000">
      <w:pPr>
        <w:numPr>
          <w:ilvl w:val="1"/>
          <w:numId w:val="1"/>
        </w:numPr>
        <w:spacing w:after="240" w:line="240" w:lineRule="auto"/>
        <w:ind w:left="792"/>
        <w:jc w:val="both"/>
        <w:rPr>
          <w:rFonts w:ascii="Times New Roman" w:eastAsia="Times New Roman" w:hAnsi="Times New Roman" w:cs="Times New Roman"/>
        </w:rPr>
      </w:pPr>
      <w:r>
        <w:rPr>
          <w:rFonts w:ascii="Times New Roman" w:eastAsia="Times New Roman" w:hAnsi="Times New Roman" w:cs="Times New Roman"/>
          <w:sz w:val="24"/>
          <w:szCs w:val="24"/>
        </w:rPr>
        <w:lastRenderedPageBreak/>
        <w:t xml:space="preserve">Clause 13(a) and Part C of Annex I are not </w:t>
      </w:r>
      <w:proofErr w:type="gramStart"/>
      <w:r>
        <w:rPr>
          <w:rFonts w:ascii="Times New Roman" w:eastAsia="Times New Roman" w:hAnsi="Times New Roman" w:cs="Times New Roman"/>
          <w:sz w:val="24"/>
          <w:szCs w:val="24"/>
        </w:rPr>
        <w:t>used;</w:t>
      </w:r>
      <w:proofErr w:type="gramEnd"/>
    </w:p>
    <w:p w14:paraId="20E87E36" w14:textId="77777777" w:rsidR="00150E9E" w:rsidRDefault="00000000">
      <w:pPr>
        <w:numPr>
          <w:ilvl w:val="1"/>
          <w:numId w:val="1"/>
        </w:numPr>
        <w:spacing w:after="240" w:line="240" w:lineRule="auto"/>
        <w:ind w:left="792"/>
        <w:jc w:val="both"/>
        <w:rPr>
          <w:rFonts w:ascii="Times New Roman" w:eastAsia="Times New Roman" w:hAnsi="Times New Roman" w:cs="Times New Roman"/>
        </w:rPr>
      </w:pPr>
      <w:r>
        <w:rPr>
          <w:rFonts w:ascii="Times New Roman" w:eastAsia="Times New Roman" w:hAnsi="Times New Roman" w:cs="Times New Roman"/>
          <w:sz w:val="24"/>
          <w:szCs w:val="24"/>
        </w:rPr>
        <w:t>The “competent supervisory authority” and “supervisory authority” are both replaced with the “Information Commissioner</w:t>
      </w:r>
      <w:proofErr w:type="gramStart"/>
      <w:r>
        <w:rPr>
          <w:rFonts w:ascii="Times New Roman" w:eastAsia="Times New Roman" w:hAnsi="Times New Roman" w:cs="Times New Roman"/>
          <w:sz w:val="24"/>
          <w:szCs w:val="24"/>
        </w:rPr>
        <w:t>”;</w:t>
      </w:r>
      <w:proofErr w:type="gramEnd"/>
    </w:p>
    <w:p w14:paraId="123EA4BA" w14:textId="77777777" w:rsidR="00150E9E" w:rsidRDefault="00000000">
      <w:pPr>
        <w:numPr>
          <w:ilvl w:val="1"/>
          <w:numId w:val="1"/>
        </w:numPr>
        <w:spacing w:after="240" w:line="240" w:lineRule="auto"/>
        <w:ind w:left="792"/>
        <w:jc w:val="both"/>
        <w:rPr>
          <w:rFonts w:ascii="Times New Roman" w:eastAsia="Times New Roman" w:hAnsi="Times New Roman" w:cs="Times New Roman"/>
        </w:rPr>
      </w:pPr>
      <w:r>
        <w:rPr>
          <w:rFonts w:ascii="Times New Roman" w:eastAsia="Times New Roman" w:hAnsi="Times New Roman" w:cs="Times New Roman"/>
          <w:sz w:val="24"/>
          <w:szCs w:val="24"/>
        </w:rPr>
        <w:t>In Clause 16(e), subsection (</w:t>
      </w:r>
      <w:proofErr w:type="spellStart"/>
      <w:r>
        <w:rPr>
          <w:rFonts w:ascii="Times New Roman" w:eastAsia="Times New Roman" w:hAnsi="Times New Roman" w:cs="Times New Roman"/>
          <w:sz w:val="24"/>
          <w:szCs w:val="24"/>
        </w:rPr>
        <w:t>i</w:t>
      </w:r>
      <w:proofErr w:type="spellEnd"/>
      <w:r>
        <w:rPr>
          <w:rFonts w:ascii="Times New Roman" w:eastAsia="Times New Roman" w:hAnsi="Times New Roman" w:cs="Times New Roman"/>
          <w:sz w:val="24"/>
          <w:szCs w:val="24"/>
        </w:rPr>
        <w:t>) is replaced with:</w:t>
      </w:r>
    </w:p>
    <w:p w14:paraId="08423583" w14:textId="77777777" w:rsidR="00150E9E" w:rsidRDefault="00000000">
      <w:pPr>
        <w:spacing w:before="200" w:after="160" w:line="240" w:lineRule="auto"/>
        <w:ind w:left="864" w:right="864"/>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w:t>
      </w:r>
      <w:proofErr w:type="gramStart"/>
      <w:r>
        <w:rPr>
          <w:rFonts w:ascii="Times New Roman" w:eastAsia="Times New Roman" w:hAnsi="Times New Roman" w:cs="Times New Roman"/>
          <w:i/>
          <w:sz w:val="24"/>
          <w:szCs w:val="24"/>
        </w:rPr>
        <w:t>the</w:t>
      </w:r>
      <w:proofErr w:type="gramEnd"/>
      <w:r>
        <w:rPr>
          <w:rFonts w:ascii="Times New Roman" w:eastAsia="Times New Roman" w:hAnsi="Times New Roman" w:cs="Times New Roman"/>
          <w:i/>
          <w:sz w:val="24"/>
          <w:szCs w:val="24"/>
        </w:rPr>
        <w:t xml:space="preserve"> Secretary of State makes regulations pursuant to Section 17A of the Data Protection Act 2018 that cover the transfer of personal data to which these clauses apply;</w:t>
      </w:r>
      <w:proofErr w:type="gramStart"/>
      <w:r>
        <w:rPr>
          <w:rFonts w:ascii="Times New Roman" w:eastAsia="Times New Roman" w:hAnsi="Times New Roman" w:cs="Times New Roman"/>
          <w:i/>
          <w:sz w:val="24"/>
          <w:szCs w:val="24"/>
        </w:rPr>
        <w:t>”;</w:t>
      </w:r>
      <w:proofErr w:type="gramEnd"/>
    </w:p>
    <w:p w14:paraId="6F0B9012" w14:textId="77777777" w:rsidR="00150E9E" w:rsidRDefault="00000000">
      <w:pPr>
        <w:numPr>
          <w:ilvl w:val="1"/>
          <w:numId w:val="1"/>
        </w:numPr>
        <w:spacing w:after="240" w:line="240" w:lineRule="auto"/>
        <w:ind w:left="792"/>
        <w:jc w:val="both"/>
        <w:rPr>
          <w:rFonts w:ascii="Times New Roman" w:eastAsia="Times New Roman" w:hAnsi="Times New Roman" w:cs="Times New Roman"/>
        </w:rPr>
      </w:pPr>
      <w:r>
        <w:rPr>
          <w:rFonts w:ascii="Times New Roman" w:eastAsia="Times New Roman" w:hAnsi="Times New Roman" w:cs="Times New Roman"/>
          <w:sz w:val="24"/>
          <w:szCs w:val="24"/>
        </w:rPr>
        <w:t>Clause 17 is replaced with:</w:t>
      </w:r>
    </w:p>
    <w:p w14:paraId="29A2E632" w14:textId="77777777" w:rsidR="00150E9E" w:rsidRDefault="00000000">
      <w:pPr>
        <w:spacing w:before="200" w:after="160" w:line="240" w:lineRule="auto"/>
        <w:ind w:left="864" w:right="864"/>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“These Clauses are governed by the laws of England and Wales.</w:t>
      </w:r>
      <w:proofErr w:type="gramStart"/>
      <w:r>
        <w:rPr>
          <w:rFonts w:ascii="Times New Roman" w:eastAsia="Times New Roman" w:hAnsi="Times New Roman" w:cs="Times New Roman"/>
          <w:i/>
          <w:sz w:val="24"/>
          <w:szCs w:val="24"/>
        </w:rPr>
        <w:t>”;</w:t>
      </w:r>
      <w:proofErr w:type="gramEnd"/>
    </w:p>
    <w:p w14:paraId="6965D61E" w14:textId="77777777" w:rsidR="00150E9E" w:rsidRDefault="00000000">
      <w:pPr>
        <w:numPr>
          <w:ilvl w:val="1"/>
          <w:numId w:val="1"/>
        </w:numPr>
        <w:spacing w:after="240" w:line="240" w:lineRule="auto"/>
        <w:ind w:left="792"/>
        <w:jc w:val="both"/>
        <w:rPr>
          <w:rFonts w:ascii="Times New Roman" w:eastAsia="Times New Roman" w:hAnsi="Times New Roman" w:cs="Times New Roman"/>
        </w:rPr>
      </w:pPr>
      <w:r>
        <w:rPr>
          <w:rFonts w:ascii="Times New Roman" w:eastAsia="Times New Roman" w:hAnsi="Times New Roman" w:cs="Times New Roman"/>
          <w:sz w:val="24"/>
          <w:szCs w:val="24"/>
        </w:rPr>
        <w:t>Clause 18 is replaced with:</w:t>
      </w:r>
    </w:p>
    <w:p w14:paraId="02D42175" w14:textId="77777777" w:rsidR="00150E9E" w:rsidRDefault="00000000">
      <w:pPr>
        <w:spacing w:before="200" w:after="160" w:line="240" w:lineRule="auto"/>
        <w:ind w:left="864" w:right="864"/>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“Any dispute arising from these Clauses shall be resolved by the courts of England and Wales. A data subject may also bring legal proceedings against the data exporter and/or data importer before the courts of any country in the UK. The Parties agree to submit themselves to the jurisdiction of such courts.”; and</w:t>
      </w:r>
    </w:p>
    <w:p w14:paraId="1F142FD7" w14:textId="77777777" w:rsidR="00150E9E" w:rsidRDefault="00000000">
      <w:pPr>
        <w:numPr>
          <w:ilvl w:val="1"/>
          <w:numId w:val="1"/>
        </w:numPr>
        <w:spacing w:after="240" w:line="240" w:lineRule="auto"/>
        <w:ind w:left="792"/>
        <w:jc w:val="both"/>
        <w:rPr>
          <w:rFonts w:ascii="Times New Roman" w:eastAsia="Times New Roman" w:hAnsi="Times New Roman" w:cs="Times New Roman"/>
        </w:rPr>
      </w:pPr>
      <w:r>
        <w:rPr>
          <w:rFonts w:ascii="Times New Roman" w:eastAsia="Times New Roman" w:hAnsi="Times New Roman" w:cs="Times New Roman"/>
          <w:sz w:val="24"/>
          <w:szCs w:val="24"/>
        </w:rPr>
        <w:t>The footnotes to the Approved EU SCCs do not form part of the Addendum, except for footnotes 8, 9, 10 and 11.</w:t>
      </w:r>
    </w:p>
    <w:p w14:paraId="647C16A2" w14:textId="77777777" w:rsidR="00150E9E" w:rsidRDefault="00000000">
      <w:pPr>
        <w:spacing w:after="24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Amendments to this Addendum</w:t>
      </w:r>
    </w:p>
    <w:p w14:paraId="077D394B"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The Parties may agree to change Clauses 17 and/or 18 of the Addendum EU SCCs to refer to the laws and/or courts of Scotland or Northern Ireland.</w:t>
      </w:r>
    </w:p>
    <w:p w14:paraId="6A0BB00F"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If the Parties wish to change the format of the information included in Part 1: Tables of the Approved Addendum, they may do so by agreeing to the change in writing, provided that the change does not reduce the Appropriate Safeguards.</w:t>
      </w:r>
    </w:p>
    <w:p w14:paraId="5D6E2A08"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From time to time, the ICO may issue a revised Approved Addendum which:</w:t>
      </w:r>
    </w:p>
    <w:p w14:paraId="664F550A" w14:textId="77777777" w:rsidR="00150E9E" w:rsidRDefault="00000000">
      <w:pPr>
        <w:numPr>
          <w:ilvl w:val="1"/>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makes reasonable and proportionate changes to the Approved Addendum, including correcting errors in the Approved Addendum; and/or</w:t>
      </w:r>
    </w:p>
    <w:p w14:paraId="0C7E3C33" w14:textId="77777777" w:rsidR="00150E9E" w:rsidRDefault="00000000">
      <w:pPr>
        <w:numPr>
          <w:ilvl w:val="1"/>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 xml:space="preserve">reflects changes to UK Data Protection </w:t>
      </w:r>
      <w:proofErr w:type="gramStart"/>
      <w:r>
        <w:rPr>
          <w:rFonts w:ascii="Times New Roman" w:eastAsia="Times New Roman" w:hAnsi="Times New Roman" w:cs="Times New Roman"/>
          <w:sz w:val="24"/>
          <w:szCs w:val="24"/>
        </w:rPr>
        <w:t>Laws;</w:t>
      </w:r>
      <w:proofErr w:type="gramEnd"/>
    </w:p>
    <w:p w14:paraId="61D822A7" w14:textId="77777777" w:rsidR="00150E9E" w:rsidRDefault="00000000">
      <w:pPr>
        <w:spacing w:after="240" w:line="240" w:lineRule="auto"/>
        <w:ind w:left="432"/>
        <w:rPr>
          <w:rFonts w:ascii="Times New Roman" w:eastAsia="Times New Roman" w:hAnsi="Times New Roman" w:cs="Times New Roman"/>
          <w:sz w:val="24"/>
          <w:szCs w:val="24"/>
        </w:rPr>
      </w:pPr>
      <w:r>
        <w:rPr>
          <w:rFonts w:ascii="Times New Roman" w:eastAsia="Times New Roman" w:hAnsi="Times New Roman" w:cs="Times New Roman"/>
          <w:sz w:val="24"/>
          <w:szCs w:val="24"/>
        </w:rPr>
        <w:t>The revised Approved Addendum will specify the start date from which the changes to the Approved Addendum are effective and whether the Parties need to review this Addendum including the Appendix Information. This Addendum is automatically amended as set out in the revised Approved Addendum from the start date specified.</w:t>
      </w:r>
    </w:p>
    <w:p w14:paraId="3BB64E5D"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 xml:space="preserve">If the ICO issues a revised Approved Addendum under Section 18, if any Party selected in Table 4 “Ending the Addendum when the Approved Addendum changes”, will as a direct </w:t>
      </w:r>
      <w:r>
        <w:rPr>
          <w:rFonts w:ascii="Times New Roman" w:eastAsia="Times New Roman" w:hAnsi="Times New Roman" w:cs="Times New Roman"/>
          <w:sz w:val="24"/>
          <w:szCs w:val="24"/>
        </w:rPr>
        <w:lastRenderedPageBreak/>
        <w:t>result of the changes in the Approved Addendum have a substantial, disproportionate and demonstrable increase in:</w:t>
      </w:r>
    </w:p>
    <w:p w14:paraId="5BE91CA0" w14:textId="77777777" w:rsidR="00150E9E" w:rsidRDefault="00000000">
      <w:pPr>
        <w:numPr>
          <w:ilvl w:val="1"/>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its direct costs of performing its obligations under the Addendum; and/or</w:t>
      </w:r>
    </w:p>
    <w:p w14:paraId="18FC13F9" w14:textId="77777777" w:rsidR="00150E9E" w:rsidRDefault="00000000">
      <w:pPr>
        <w:numPr>
          <w:ilvl w:val="1"/>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its risk under the Addendum,</w:t>
      </w:r>
    </w:p>
    <w:p w14:paraId="1996F5E0" w14:textId="77777777" w:rsidR="00150E9E" w:rsidRDefault="00000000">
      <w:pPr>
        <w:spacing w:after="240" w:line="240" w:lineRule="auto"/>
        <w:ind w:left="432"/>
        <w:rPr>
          <w:rFonts w:ascii="Times New Roman" w:eastAsia="Times New Roman" w:hAnsi="Times New Roman" w:cs="Times New Roman"/>
          <w:sz w:val="24"/>
          <w:szCs w:val="24"/>
        </w:rPr>
      </w:pPr>
      <w:r>
        <w:rPr>
          <w:rFonts w:ascii="Times New Roman" w:eastAsia="Times New Roman" w:hAnsi="Times New Roman" w:cs="Times New Roman"/>
          <w:sz w:val="24"/>
          <w:szCs w:val="24"/>
        </w:rPr>
        <w:t>and in either case it has first taken reasonable steps to reduce those costs or risks so that it is not substantial and disproportionate, then that Party may end this Addendum at the end of a reasonable notice period, by providing written notice for that period to the other Party before the start date of the revised Approved Addendum.</w:t>
      </w:r>
    </w:p>
    <w:p w14:paraId="4F63519D" w14:textId="77777777" w:rsidR="00150E9E" w:rsidRDefault="00000000">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sz w:val="24"/>
          <w:szCs w:val="24"/>
        </w:rPr>
        <w:t>The Parties do not need the consent of any third party to make changes to this Addendum, but any changes must be made in accordance with its terms.</w:t>
      </w:r>
    </w:p>
    <w:sectPr w:rsidR="00150E9E">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l‚r ƒSƒVƒbƒN"/>
    <w:panose1 w:val="020B0609070205080204"/>
    <w:charset w:val="80"/>
    <w:family w:val="modern"/>
    <w:pitch w:val="fixed"/>
    <w:sig w:usb0="E00002FF" w:usb1="6AC7FDFB" w:usb2="08000012" w:usb3="00000000" w:csb0="0002009F" w:csb1="00000000"/>
    <w:embedRegular r:id="rId1" w:subsetted="1" w:fontKey="{9229559E-A9C0-4092-9313-9DB924F294CD}"/>
  </w:font>
  <w:font w:name="Arial Unicode MS">
    <w:altName w:val="Arial"/>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2" w:fontKey="{153D07C4-9DB7-4A46-9E50-E3B791F04479}"/>
  </w:font>
  <w:font w:name="Cambria">
    <w:panose1 w:val="02040503050406030204"/>
    <w:charset w:val="00"/>
    <w:family w:val="roman"/>
    <w:pitch w:val="variable"/>
    <w:sig w:usb0="E00006FF" w:usb1="420024FF" w:usb2="02000000" w:usb3="00000000" w:csb0="0000019F" w:csb1="00000000"/>
    <w:embedRegular r:id="rId3" w:fontKey="{C52B05C6-E8D0-425B-844B-AB0B9D8E53B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620F8B"/>
    <w:multiLevelType w:val="multilevel"/>
    <w:tmpl w:val="F62EDFB6"/>
    <w:lvl w:ilvl="0">
      <w:start w:val="1"/>
      <w:numFmt w:val="decimal"/>
      <w:lvlText w:val="%1."/>
      <w:lvlJc w:val="left"/>
      <w:pPr>
        <w:ind w:left="432" w:hanging="432"/>
      </w:pPr>
      <w:rPr>
        <w:b w:val="0"/>
        <w:i w:val="0"/>
        <w:smallCaps w:val="0"/>
        <w:strike w:val="0"/>
        <w:color w:val="000000"/>
        <w:sz w:val="24"/>
        <w:szCs w:val="24"/>
        <w:u w:val="none"/>
        <w:vertAlign w:val="baseline"/>
      </w:rPr>
    </w:lvl>
    <w:lvl w:ilvl="1">
      <w:start w:val="1"/>
      <w:numFmt w:val="lowerLetter"/>
      <w:lvlText w:val="%2."/>
      <w:lvlJc w:val="left"/>
      <w:pPr>
        <w:ind w:left="1080" w:hanging="360"/>
      </w:pPr>
      <w:rPr>
        <w:b w:val="0"/>
        <w:i w:val="0"/>
        <w:smallCaps w:val="0"/>
        <w:strike w:val="0"/>
        <w:color w:val="000000"/>
        <w:sz w:val="24"/>
        <w:szCs w:val="24"/>
        <w:u w:val="none"/>
        <w:vertAlign w:val="baseline"/>
      </w:rPr>
    </w:lvl>
    <w:lvl w:ilvl="2">
      <w:start w:val="1"/>
      <w:numFmt w:val="lowerRoman"/>
      <w:lvlText w:val="(%3)"/>
      <w:lvlJc w:val="left"/>
      <w:pPr>
        <w:ind w:left="0" w:firstLine="2160"/>
      </w:pPr>
      <w:rPr>
        <w:b w:val="0"/>
        <w:i w:val="0"/>
        <w:smallCaps w:val="0"/>
        <w:strike w:val="0"/>
        <w:color w:val="000000"/>
        <w:sz w:val="24"/>
        <w:szCs w:val="24"/>
        <w:u w:val="none"/>
        <w:vertAlign w:val="baseline"/>
      </w:rPr>
    </w:lvl>
    <w:lvl w:ilvl="3">
      <w:start w:val="1"/>
      <w:numFmt w:val="decimal"/>
      <w:lvlText w:val="(%4)"/>
      <w:lvlJc w:val="left"/>
      <w:pPr>
        <w:ind w:left="0" w:firstLine="2880"/>
      </w:pPr>
      <w:rPr>
        <w:b w:val="0"/>
        <w:i w:val="0"/>
        <w:smallCaps w:val="0"/>
        <w:strike w:val="0"/>
        <w:color w:val="000000"/>
        <w:sz w:val="24"/>
        <w:szCs w:val="24"/>
        <w:u w:val="none"/>
        <w:vertAlign w:val="baseline"/>
      </w:rPr>
    </w:lvl>
    <w:lvl w:ilvl="4">
      <w:start w:val="1"/>
      <w:numFmt w:val="lowerLetter"/>
      <w:lvlText w:val="%5."/>
      <w:lvlJc w:val="left"/>
      <w:pPr>
        <w:ind w:left="0" w:firstLine="3600"/>
      </w:pPr>
      <w:rPr>
        <w:b w:val="0"/>
        <w:i w:val="0"/>
        <w:smallCaps w:val="0"/>
        <w:strike w:val="0"/>
        <w:color w:val="000000"/>
        <w:sz w:val="24"/>
        <w:szCs w:val="24"/>
        <w:u w:val="none"/>
        <w:vertAlign w:val="baseline"/>
      </w:rPr>
    </w:lvl>
    <w:lvl w:ilvl="5">
      <w:start w:val="1"/>
      <w:numFmt w:val="lowerRoman"/>
      <w:lvlText w:val="%6."/>
      <w:lvlJc w:val="left"/>
      <w:pPr>
        <w:ind w:left="0" w:firstLine="4320"/>
      </w:pPr>
      <w:rPr>
        <w:b w:val="0"/>
        <w:i w:val="0"/>
        <w:smallCaps w:val="0"/>
        <w:strike w:val="0"/>
        <w:color w:val="000000"/>
        <w:sz w:val="24"/>
        <w:szCs w:val="24"/>
        <w:u w:val="none"/>
        <w:vertAlign w:val="baseline"/>
      </w:rPr>
    </w:lvl>
    <w:lvl w:ilvl="6">
      <w:start w:val="1"/>
      <w:numFmt w:val="decimal"/>
      <w:lvlText w:val="%7)"/>
      <w:lvlJc w:val="left"/>
      <w:pPr>
        <w:ind w:left="0" w:firstLine="5040"/>
      </w:pPr>
      <w:rPr>
        <w:b w:val="0"/>
        <w:i w:val="0"/>
        <w:smallCaps w:val="0"/>
        <w:strike w:val="0"/>
        <w:color w:val="000000"/>
        <w:sz w:val="24"/>
        <w:szCs w:val="24"/>
        <w:u w:val="none"/>
        <w:vertAlign w:val="baseline"/>
      </w:rPr>
    </w:lvl>
    <w:lvl w:ilvl="7">
      <w:start w:val="1"/>
      <w:numFmt w:val="lowerLetter"/>
      <w:lvlText w:val="%8)"/>
      <w:lvlJc w:val="left"/>
      <w:pPr>
        <w:ind w:left="0" w:firstLine="5760"/>
      </w:pPr>
      <w:rPr>
        <w:b w:val="0"/>
        <w:i w:val="0"/>
        <w:smallCaps w:val="0"/>
        <w:strike w:val="0"/>
        <w:color w:val="000000"/>
        <w:sz w:val="24"/>
        <w:szCs w:val="24"/>
        <w:u w:val="none"/>
        <w:vertAlign w:val="baseline"/>
      </w:rPr>
    </w:lvl>
    <w:lvl w:ilvl="8">
      <w:start w:val="1"/>
      <w:numFmt w:val="lowerRoman"/>
      <w:lvlText w:val="%9)"/>
      <w:lvlJc w:val="left"/>
      <w:pPr>
        <w:ind w:left="0" w:firstLine="6480"/>
      </w:pPr>
      <w:rPr>
        <w:b w:val="0"/>
        <w:i w:val="0"/>
        <w:smallCaps w:val="0"/>
        <w:strike w:val="0"/>
        <w:color w:val="000000"/>
        <w:sz w:val="24"/>
        <w:szCs w:val="24"/>
        <w:u w:val="none"/>
        <w:vertAlign w:val="baseline"/>
      </w:rPr>
    </w:lvl>
  </w:abstractNum>
  <w:num w:numId="1" w16cid:durableId="19886307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0E9E"/>
    <w:rsid w:val="00150E9E"/>
    <w:rsid w:val="00B34CC0"/>
    <w:rsid w:val="00ED4C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5F20AF"/>
  <w15:docId w15:val="{E019E4A3-708F-4A4B-9D7D-10923911D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pPr>
      <w:spacing w:line="240" w:lineRule="auto"/>
    </w:pPr>
    <w:tblPr>
      <w:tblStyleRowBandSize w:val="1"/>
      <w:tblStyleColBandSize w:val="1"/>
    </w:tblPr>
  </w:style>
  <w:style w:type="table" w:customStyle="1" w:styleId="a0">
    <w:basedOn w:val="TableNormal"/>
    <w:pPr>
      <w:spacing w:line="240" w:lineRule="auto"/>
    </w:pPr>
    <w:tblPr>
      <w:tblStyleRowBandSize w:val="1"/>
      <w:tblStyleColBandSize w:val="1"/>
    </w:tblPr>
  </w:style>
  <w:style w:type="table" w:customStyle="1" w:styleId="a1">
    <w:basedOn w:val="TableNormal"/>
    <w:pPr>
      <w:spacing w:line="240" w:lineRule="auto"/>
    </w:pPr>
    <w:tblPr>
      <w:tblStyleRowBandSize w:val="1"/>
      <w:tblStyleColBandSize w:val="1"/>
    </w:tblPr>
  </w:style>
  <w:style w:type="table" w:customStyle="1" w:styleId="a2">
    <w:basedOn w:val="TableNormal"/>
    <w:pPr>
      <w:spacing w:line="240" w:lineRule="auto"/>
    </w:pPr>
    <w:tblPr>
      <w:tblStyleRowBandSize w:val="1"/>
      <w:tblStyleColBandSize w:val="1"/>
    </w:tblPr>
  </w:style>
  <w:style w:type="table" w:customStyle="1" w:styleId="a3">
    <w:basedOn w:val="TableNormal"/>
    <w:pPr>
      <w:spacing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8</Pages>
  <Words>2178</Words>
  <Characters>11023</Characters>
  <Application>Microsoft Office Word</Application>
  <DocSecurity>0</DocSecurity>
  <Lines>300</Lines>
  <Paragraphs>150</Paragraphs>
  <ScaleCrop>false</ScaleCrop>
  <Company/>
  <LinksUpToDate>false</LinksUpToDate>
  <CharactersWithSpaces>13066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Jenny Driggars</cp:lastModifiedBy>
  <cp:revision>2</cp:revision>
  <dcterms:created xsi:type="dcterms:W3CDTF">2026-02-11T16:27:00Z</dcterms:created>
  <dcterms:modified xsi:type="dcterms:W3CDTF">2026-02-11T16:27:00Z</dcterms:modified>
</cp:coreProperties>
</file>